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8A8C" w14:textId="77777777" w:rsidR="00834FF0" w:rsidRPr="00EC5F8D" w:rsidRDefault="00834FF0" w:rsidP="00834FF0">
      <w:pPr>
        <w:ind w:right="140"/>
        <w:rPr>
          <w:smallCaps/>
          <w:color w:val="993366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610636" w14:textId="77777777" w:rsidR="00834FF0" w:rsidRPr="00EC5F8D" w:rsidRDefault="00834FF0" w:rsidP="00834FF0">
      <w:pPr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5F8D"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PROCEDURA 2</w:t>
      </w:r>
    </w:p>
    <w:p w14:paraId="233807EE" w14:textId="77777777" w:rsidR="00834FF0" w:rsidRPr="00EC5F8D" w:rsidRDefault="00834FF0" w:rsidP="00834FF0">
      <w:pPr>
        <w:jc w:val="center"/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C5F8D">
        <w:rPr>
          <w:smallCaps/>
          <w:color w:val="404040" w:themeColor="text1" w:themeTint="BF"/>
          <w:sz w:val="4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GESTIONE DEI FLUSSI FINANZIARI</w:t>
      </w:r>
    </w:p>
    <w:p w14:paraId="379505C9" w14:textId="77777777" w:rsidR="00834FF0" w:rsidRPr="00EC5F8D" w:rsidRDefault="00834FF0" w:rsidP="00834FF0">
      <w:pPr>
        <w:jc w:val="center"/>
        <w:rPr>
          <w:smallCaps/>
          <w:color w:val="404040" w:themeColor="text1" w:themeTint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B0BBF11" w14:textId="77777777" w:rsidR="00834FF0" w:rsidRPr="00EC5F8D" w:rsidRDefault="00834FF0" w:rsidP="00834FF0">
      <w:pPr>
        <w:ind w:right="140"/>
        <w:jc w:val="both"/>
        <w:rPr>
          <w:smallCaps/>
          <w:color w:val="404040" w:themeColor="text1" w:themeTint="B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CADE138" w14:textId="77777777" w:rsidR="00834FF0" w:rsidRPr="00F540F0" w:rsidRDefault="00834FF0" w:rsidP="00834FF0">
      <w:pPr>
        <w:tabs>
          <w:tab w:val="left" w:pos="9498"/>
        </w:tabs>
        <w:ind w:right="278"/>
        <w:jc w:val="both"/>
        <w:rPr>
          <w:smallCaps/>
          <w:color w:val="404040" w:themeColor="text1" w:themeTint="BF"/>
          <w:sz w:val="28"/>
          <w:szCs w:val="28"/>
          <w:u w:val="single"/>
        </w:rPr>
      </w:pPr>
      <w:r w:rsidRPr="00F540F0">
        <w:rPr>
          <w:smallCaps/>
          <w:color w:val="404040" w:themeColor="text1" w:themeTint="BF"/>
          <w:sz w:val="28"/>
          <w:szCs w:val="28"/>
          <w:u w:val="single"/>
        </w:rPr>
        <w:t xml:space="preserve">Indice: </w:t>
      </w:r>
    </w:p>
    <w:p w14:paraId="75A5E680" w14:textId="77777777" w:rsidR="00834FF0" w:rsidRPr="00F540F0" w:rsidRDefault="00834FF0" w:rsidP="00834FF0">
      <w:pPr>
        <w:ind w:right="140"/>
        <w:jc w:val="both"/>
        <w:rPr>
          <w:smallCaps/>
          <w:color w:val="404040" w:themeColor="text1" w:themeTint="BF"/>
        </w:rPr>
      </w:pPr>
    </w:p>
    <w:p w14:paraId="7888AF70" w14:textId="77777777" w:rsidR="00834FF0" w:rsidRPr="00F540F0" w:rsidRDefault="00834FF0" w:rsidP="00834FF0">
      <w:pPr>
        <w:numPr>
          <w:ilvl w:val="0"/>
          <w:numId w:val="2"/>
        </w:numPr>
        <w:ind w:left="284"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 xml:space="preserve">Obiettivi </w:t>
      </w:r>
    </w:p>
    <w:p w14:paraId="2EBF4E1B" w14:textId="77777777" w:rsidR="00834FF0" w:rsidRPr="00F540F0" w:rsidRDefault="00834FF0" w:rsidP="00834FF0">
      <w:pPr>
        <w:numPr>
          <w:ilvl w:val="0"/>
          <w:numId w:val="2"/>
        </w:numPr>
        <w:ind w:left="284"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 xml:space="preserve"> Destinatari  </w:t>
      </w:r>
    </w:p>
    <w:p w14:paraId="7C24235E" w14:textId="77777777" w:rsidR="00834FF0" w:rsidRPr="00F540F0" w:rsidRDefault="00834FF0" w:rsidP="00834FF0">
      <w:pPr>
        <w:numPr>
          <w:ilvl w:val="0"/>
          <w:numId w:val="2"/>
        </w:numPr>
        <w:ind w:left="284"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 xml:space="preserve">Processi aziendali coinvolti  </w:t>
      </w:r>
    </w:p>
    <w:p w14:paraId="116DCAE2" w14:textId="77777777" w:rsidR="00834FF0" w:rsidRPr="00F540F0" w:rsidRDefault="00834FF0" w:rsidP="00834FF0">
      <w:pPr>
        <w:numPr>
          <w:ilvl w:val="0"/>
          <w:numId w:val="2"/>
        </w:numPr>
        <w:ind w:left="284"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 xml:space="preserve">Documentazione integrativa </w:t>
      </w:r>
    </w:p>
    <w:p w14:paraId="3C0CEBC9" w14:textId="77777777" w:rsidR="00834FF0" w:rsidRPr="00F540F0" w:rsidRDefault="00834FF0" w:rsidP="00834FF0">
      <w:pPr>
        <w:numPr>
          <w:ilvl w:val="0"/>
          <w:numId w:val="2"/>
        </w:numPr>
        <w:ind w:left="284"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 xml:space="preserve">Protocolli di prevenzione </w:t>
      </w:r>
    </w:p>
    <w:p w14:paraId="56BE53E3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poteri di spesa</w:t>
      </w:r>
    </w:p>
    <w:p w14:paraId="40D2BEE3" w14:textId="0836078D" w:rsidR="00EC5F8D" w:rsidRDefault="00EC5F8D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>
        <w:rPr>
          <w:i/>
          <w:color w:val="404040" w:themeColor="text1" w:themeTint="BF"/>
        </w:rPr>
        <w:t>gestione dei rapporti con gli istituti di credito</w:t>
      </w:r>
    </w:p>
    <w:p w14:paraId="5EA50B72" w14:textId="1744ADF8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modalità di circolazione delle finanze e gestione della cassa contanti</w:t>
      </w:r>
    </w:p>
    <w:p w14:paraId="7CB50866" w14:textId="51F7691A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controllo dei flussi finanziari</w:t>
      </w:r>
    </w:p>
    <w:p w14:paraId="48103826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 xml:space="preserve">flussi afferenti </w:t>
      </w:r>
      <w:proofErr w:type="gramStart"/>
      <w:r w:rsidRPr="00F540F0">
        <w:rPr>
          <w:i/>
          <w:color w:val="404040" w:themeColor="text1" w:themeTint="BF"/>
        </w:rPr>
        <w:t>i</w:t>
      </w:r>
      <w:proofErr w:type="gramEnd"/>
      <w:r w:rsidRPr="00F540F0">
        <w:rPr>
          <w:i/>
          <w:color w:val="404040" w:themeColor="text1" w:themeTint="BF"/>
        </w:rPr>
        <w:t xml:space="preserve"> rimborsi spese</w:t>
      </w:r>
    </w:p>
    <w:p w14:paraId="3146F6D4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 xml:space="preserve">flussi afferenti </w:t>
      </w:r>
      <w:proofErr w:type="gramStart"/>
      <w:r w:rsidRPr="00F540F0">
        <w:rPr>
          <w:i/>
          <w:color w:val="404040" w:themeColor="text1" w:themeTint="BF"/>
        </w:rPr>
        <w:t>i</w:t>
      </w:r>
      <w:proofErr w:type="gramEnd"/>
      <w:r w:rsidRPr="00F540F0">
        <w:rPr>
          <w:i/>
          <w:color w:val="404040" w:themeColor="text1" w:themeTint="BF"/>
        </w:rPr>
        <w:t xml:space="preserve"> rapporti con i fornitori e con i consulenti</w:t>
      </w:r>
    </w:p>
    <w:p w14:paraId="0A77E182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normativa antiriciclaggio</w:t>
      </w:r>
    </w:p>
    <w:p w14:paraId="3412FE6F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spendita di contributi, finanziamenti, mutui agevolati o altre erogazioni dello stesso tipo comunque denominate concessi o erogati dallo stato, da altri enti pubblici o dall’Unione Europea ovvero da Enti privati</w:t>
      </w:r>
    </w:p>
    <w:p w14:paraId="57B7C9BB" w14:textId="77777777" w:rsidR="00834FF0" w:rsidRPr="00F540F0" w:rsidRDefault="00834FF0" w:rsidP="00834FF0">
      <w:pPr>
        <w:numPr>
          <w:ilvl w:val="0"/>
          <w:numId w:val="3"/>
        </w:numPr>
        <w:ind w:right="-1"/>
        <w:jc w:val="both"/>
        <w:rPr>
          <w:i/>
          <w:color w:val="404040" w:themeColor="text1" w:themeTint="BF"/>
        </w:rPr>
      </w:pPr>
      <w:r w:rsidRPr="00F540F0">
        <w:rPr>
          <w:i/>
          <w:color w:val="404040" w:themeColor="text1" w:themeTint="BF"/>
        </w:rPr>
        <w:t>tracciabilità dei flussi finanziari</w:t>
      </w:r>
    </w:p>
    <w:p w14:paraId="40C2E9DE" w14:textId="77777777" w:rsidR="00834FF0" w:rsidRPr="00F540F0" w:rsidRDefault="00834FF0" w:rsidP="00834FF0">
      <w:pPr>
        <w:ind w:right="142"/>
        <w:rPr>
          <w:smallCaps/>
          <w:color w:val="404040" w:themeColor="text1" w:themeTint="BF"/>
        </w:rPr>
      </w:pPr>
      <w:r w:rsidRPr="00F540F0">
        <w:rPr>
          <w:smallCaps/>
          <w:color w:val="404040" w:themeColor="text1" w:themeTint="BF"/>
        </w:rPr>
        <w:t>6. Disposizioni finali</w:t>
      </w:r>
    </w:p>
    <w:p w14:paraId="1092C8D0" w14:textId="3CE79A14" w:rsidR="00834FF0" w:rsidRPr="00EC5F8D" w:rsidRDefault="00834FF0" w:rsidP="00834FF0">
      <w:pPr>
        <w:ind w:right="278"/>
        <w:jc w:val="both"/>
        <w:rPr>
          <w:smallCaps/>
          <w:color w:val="66330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C0ED359" w14:textId="7E1FAB0F" w:rsidR="00EC5F8D" w:rsidRPr="00C1443A" w:rsidRDefault="00EC5F8D" w:rsidP="00834FF0">
      <w:pPr>
        <w:ind w:right="278"/>
        <w:jc w:val="both"/>
        <w:rPr>
          <w:smallCaps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443A">
        <w:rPr>
          <w:smallCaps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ALLEGATI:</w:t>
      </w:r>
    </w:p>
    <w:p w14:paraId="061C62FA" w14:textId="77777777" w:rsidR="00EC5F8D" w:rsidRDefault="00EC5F8D" w:rsidP="00EC5F8D">
      <w:pPr>
        <w:ind w:right="140"/>
        <w:jc w:val="both"/>
        <w:rPr>
          <w:smallCaps/>
          <w:color w:val="404040" w:themeColor="text1" w:themeTint="BF"/>
        </w:rPr>
      </w:pPr>
    </w:p>
    <w:p w14:paraId="244818CC" w14:textId="20340123" w:rsidR="00EC5F8D" w:rsidRPr="008D316C" w:rsidRDefault="00EC5F8D" w:rsidP="00EC5F8D">
      <w:pPr>
        <w:ind w:right="140"/>
        <w:jc w:val="both"/>
        <w:rPr>
          <w:smallCaps/>
          <w:color w:val="404040" w:themeColor="text1" w:themeTint="BF"/>
        </w:rPr>
      </w:pPr>
      <w:r w:rsidRPr="008D316C">
        <w:rPr>
          <w:smallCaps/>
          <w:color w:val="404040" w:themeColor="text1" w:themeTint="BF"/>
        </w:rPr>
        <w:t>Report 2.</w:t>
      </w:r>
      <w:r>
        <w:rPr>
          <w:smallCaps/>
          <w:color w:val="404040" w:themeColor="text1" w:themeTint="BF"/>
        </w:rPr>
        <w:t>2</w:t>
      </w:r>
      <w:r w:rsidRPr="008D316C">
        <w:rPr>
          <w:smallCaps/>
          <w:color w:val="404040" w:themeColor="text1" w:themeTint="BF"/>
        </w:rPr>
        <w:t>.1. – Segnalazione monete, banconote e valori bollati sospetti</w:t>
      </w:r>
    </w:p>
    <w:p w14:paraId="7CEC17E2" w14:textId="0278A9DB" w:rsidR="00EC5F8D" w:rsidRPr="008D316C" w:rsidRDefault="00EC5F8D" w:rsidP="00EC5F8D">
      <w:pPr>
        <w:ind w:right="140"/>
        <w:jc w:val="both"/>
        <w:rPr>
          <w:smallCaps/>
          <w:color w:val="404040" w:themeColor="text1" w:themeTint="BF"/>
        </w:rPr>
      </w:pPr>
      <w:r w:rsidRPr="008D316C">
        <w:rPr>
          <w:smallCaps/>
          <w:color w:val="404040" w:themeColor="text1" w:themeTint="BF"/>
        </w:rPr>
        <w:t>Report 2.</w:t>
      </w:r>
      <w:r>
        <w:rPr>
          <w:smallCaps/>
          <w:color w:val="404040" w:themeColor="text1" w:themeTint="BF"/>
        </w:rPr>
        <w:t>2</w:t>
      </w:r>
      <w:r w:rsidRPr="008D316C">
        <w:rPr>
          <w:smallCaps/>
          <w:color w:val="404040" w:themeColor="text1" w:themeTint="BF"/>
        </w:rPr>
        <w:t xml:space="preserve">.2. –  Report valori bollati </w:t>
      </w:r>
    </w:p>
    <w:p w14:paraId="1FF26972" w14:textId="77777777" w:rsidR="00EC5F8D" w:rsidRPr="00EC5F8D" w:rsidRDefault="00EC5F8D" w:rsidP="00834FF0">
      <w:pPr>
        <w:ind w:right="278"/>
        <w:jc w:val="both"/>
        <w:rPr>
          <w:smallCaps/>
          <w:color w:val="663300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2E7AE6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</w:rPr>
      </w:pPr>
      <w:r w:rsidRPr="00750C65">
        <w:rPr>
          <w:rFonts w:ascii="Times New Roman" w:hAnsi="Times New Roman"/>
          <w:b/>
        </w:rPr>
        <w:t>Obiettivi</w:t>
      </w:r>
      <w:r w:rsidR="00F540F0" w:rsidRPr="00750C65">
        <w:rPr>
          <w:rStyle w:val="Rimandonotaapidipagina"/>
          <w:rFonts w:ascii="Times New Roman" w:hAnsi="Times New Roman"/>
          <w:b/>
        </w:rPr>
        <w:footnoteReference w:id="1"/>
      </w:r>
    </w:p>
    <w:p w14:paraId="142DB142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presente procedura ha l’obiettivo di definire ruoli e responsabilità, nonché dettare protocolli di prevenzione, in relazione alla Gestione dei Flussi Finanziari al fine di prevenire, nell’esecuzione di tale attività, la commissione degli illeciti previsti dal D.lgs. 231/2001.</w:t>
      </w:r>
    </w:p>
    <w:p w14:paraId="37F5F370" w14:textId="77777777" w:rsidR="00834FF0" w:rsidRPr="00750C65" w:rsidRDefault="00834FF0" w:rsidP="00834FF0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In particolare, la presente procedura intende prevenire il verificarsi delle fattispecie di reato previste nei seguenti articoli del D.Lgs. 231/01 (a titolo riassuntivo, rimandandosi per l’analisi dettagliata all’appendice normativa di parte speciale del presente MOG231): </w:t>
      </w:r>
    </w:p>
    <w:p w14:paraId="7188EDF2" w14:textId="45F782F5" w:rsidR="00834FF0" w:rsidRPr="00750C65" w:rsidRDefault="00834FF0" w:rsidP="00834FF0">
      <w:pPr>
        <w:numPr>
          <w:ilvl w:val="0"/>
          <w:numId w:val="5"/>
        </w:numPr>
        <w:tabs>
          <w:tab w:val="num" w:pos="0"/>
        </w:tabs>
        <w:spacing w:before="120" w:after="120" w:line="276" w:lineRule="auto"/>
        <w:ind w:right="-1"/>
        <w:jc w:val="both"/>
      </w:pPr>
      <w:r w:rsidRPr="00750C65">
        <w:lastRenderedPageBreak/>
        <w:t xml:space="preserve">indebita percezione di erogazioni, truffa in danno dello Stato o di un ente pubblico </w:t>
      </w:r>
      <w:r w:rsidR="00EC5F8D" w:rsidRPr="00750C65">
        <w:t xml:space="preserve">o dell’Unione Europea o </w:t>
      </w:r>
      <w:r w:rsidRPr="00750C65">
        <w:t>per il conseguimento di erogazioni pubbliche</w:t>
      </w:r>
      <w:r w:rsidR="00EC5F8D" w:rsidRPr="00750C65">
        <w:t xml:space="preserve">, </w:t>
      </w:r>
      <w:r w:rsidRPr="00750C65">
        <w:t>frode informatica in danno dello Stato o di un ente pubblico</w:t>
      </w:r>
      <w:r w:rsidR="00EC5F8D" w:rsidRPr="00750C65">
        <w:t xml:space="preserve"> e frode nelle pubbliche forniture </w:t>
      </w:r>
      <w:r w:rsidRPr="00750C65">
        <w:t>(art. 24 D.Lgs. 231/01)</w:t>
      </w:r>
    </w:p>
    <w:p w14:paraId="2D1D4A16" w14:textId="76DA5927" w:rsidR="00834FF0" w:rsidRPr="00750C65" w:rsidRDefault="00EC5F8D" w:rsidP="00834FF0">
      <w:pPr>
        <w:numPr>
          <w:ilvl w:val="0"/>
          <w:numId w:val="5"/>
        </w:numPr>
        <w:tabs>
          <w:tab w:val="num" w:pos="0"/>
        </w:tabs>
        <w:spacing w:before="120" w:after="120" w:line="276" w:lineRule="auto"/>
        <w:ind w:right="-1"/>
        <w:jc w:val="both"/>
      </w:pPr>
      <w:r w:rsidRPr="00750C65">
        <w:t xml:space="preserve">peculato, </w:t>
      </w:r>
      <w:r w:rsidR="00834FF0" w:rsidRPr="00750C65">
        <w:t>concussione, induzione indebita a dare o promettere utilità</w:t>
      </w:r>
      <w:r w:rsidRPr="00750C65">
        <w:t xml:space="preserve">, </w:t>
      </w:r>
      <w:r w:rsidR="00834FF0" w:rsidRPr="00750C65">
        <w:t>corruzione</w:t>
      </w:r>
      <w:r w:rsidRPr="00750C65">
        <w:t xml:space="preserve"> e abuso d’ufficio</w:t>
      </w:r>
      <w:r w:rsidR="00834FF0" w:rsidRPr="00750C65">
        <w:t xml:space="preserve"> (art. 25 D.Lgs. 231/01)</w:t>
      </w:r>
    </w:p>
    <w:p w14:paraId="0C8C9C88" w14:textId="77777777" w:rsidR="00EC5F8D" w:rsidRPr="00750C65" w:rsidRDefault="00EC5F8D" w:rsidP="00EC5F8D">
      <w:pPr>
        <w:numPr>
          <w:ilvl w:val="0"/>
          <w:numId w:val="5"/>
        </w:numPr>
        <w:spacing w:before="120" w:line="276" w:lineRule="auto"/>
        <w:ind w:right="-1"/>
        <w:jc w:val="both"/>
      </w:pPr>
      <w:r w:rsidRPr="00750C65">
        <w:t>falsità in monete, in carte di pubblico credito, in valori di bollo e in strumenti o segni di riconoscimento (art. 25 bis D.Lgs. 231/01);</w:t>
      </w:r>
    </w:p>
    <w:p w14:paraId="57AFFA7E" w14:textId="77777777" w:rsidR="00834FF0" w:rsidRPr="00750C65" w:rsidRDefault="00834FF0" w:rsidP="00834FF0">
      <w:pPr>
        <w:numPr>
          <w:ilvl w:val="0"/>
          <w:numId w:val="5"/>
        </w:numPr>
        <w:tabs>
          <w:tab w:val="num" w:pos="0"/>
        </w:tabs>
        <w:spacing w:before="120" w:after="120" w:line="276" w:lineRule="auto"/>
        <w:ind w:right="-1"/>
        <w:jc w:val="both"/>
      </w:pPr>
      <w:r w:rsidRPr="00750C65">
        <w:t>art. 2635 comma 3° c.c. – corruzione tra privati e art. 2635 bis c.c. - istigazione alla corruzione tra privati (art. 25 ter D.Lgs. 231/01)</w:t>
      </w:r>
    </w:p>
    <w:p w14:paraId="15299F13" w14:textId="1CFAB681" w:rsidR="00834FF0" w:rsidRPr="00750C65" w:rsidRDefault="00834FF0" w:rsidP="00834FF0">
      <w:pPr>
        <w:numPr>
          <w:ilvl w:val="0"/>
          <w:numId w:val="5"/>
        </w:numPr>
        <w:tabs>
          <w:tab w:val="num" w:pos="0"/>
        </w:tabs>
        <w:spacing w:before="120" w:after="120" w:line="276" w:lineRule="auto"/>
        <w:ind w:right="-1"/>
        <w:jc w:val="both"/>
      </w:pPr>
      <w:r w:rsidRPr="00750C65">
        <w:t xml:space="preserve">ricettazione, riciclaggio e impiego di denaro, beni o utilità di provenienza illecita nonché autoriciclaggio (art. 25 </w:t>
      </w:r>
      <w:proofErr w:type="spellStart"/>
      <w:r w:rsidRPr="00750C65">
        <w:t>octies</w:t>
      </w:r>
      <w:proofErr w:type="spellEnd"/>
      <w:r w:rsidR="00D86CB9">
        <w:t xml:space="preserve"> </w:t>
      </w:r>
      <w:r w:rsidRPr="00750C65">
        <w:t>D.Lgs. 231/01)</w:t>
      </w:r>
    </w:p>
    <w:p w14:paraId="78C85392" w14:textId="3E78023D" w:rsidR="00834FF0" w:rsidRPr="00750C65" w:rsidRDefault="00834FF0" w:rsidP="00834FF0">
      <w:pPr>
        <w:numPr>
          <w:ilvl w:val="0"/>
          <w:numId w:val="5"/>
        </w:numPr>
        <w:tabs>
          <w:tab w:val="num" w:pos="0"/>
        </w:tabs>
        <w:spacing w:before="120" w:after="120" w:line="276" w:lineRule="auto"/>
        <w:ind w:right="-1"/>
        <w:jc w:val="both"/>
      </w:pPr>
      <w:r w:rsidRPr="00750C65">
        <w:t xml:space="preserve">art. 377 bis c.p. induzione a non rendere dichiarazioni o a rendere dichiarazioni mendaci all’autorità giudiziaria (art. 25 </w:t>
      </w:r>
      <w:proofErr w:type="spellStart"/>
      <w:r w:rsidRPr="00750C65">
        <w:t>decies</w:t>
      </w:r>
      <w:proofErr w:type="spellEnd"/>
      <w:r w:rsidR="00D86CB9">
        <w:t xml:space="preserve"> </w:t>
      </w:r>
      <w:proofErr w:type="spellStart"/>
      <w:r w:rsidRPr="00750C65">
        <w:t>d.lgs</w:t>
      </w:r>
      <w:proofErr w:type="spellEnd"/>
      <w:r w:rsidRPr="00750C65">
        <w:t xml:space="preserve"> 231/01);</w:t>
      </w:r>
    </w:p>
    <w:p w14:paraId="383B06AB" w14:textId="59382C42" w:rsidR="00834FF0" w:rsidRPr="00750C65" w:rsidRDefault="00834FF0" w:rsidP="00D86CB9">
      <w:pPr>
        <w:numPr>
          <w:ilvl w:val="0"/>
          <w:numId w:val="5"/>
        </w:numPr>
        <w:spacing w:before="120" w:after="240" w:line="276" w:lineRule="auto"/>
        <w:jc w:val="both"/>
      </w:pPr>
      <w:r w:rsidRPr="00750C65">
        <w:t xml:space="preserve">reati tributari (art. 25 </w:t>
      </w:r>
      <w:proofErr w:type="spellStart"/>
      <w:r w:rsidRPr="00750C65">
        <w:t>quinquiesdecies</w:t>
      </w:r>
      <w:proofErr w:type="spellEnd"/>
      <w:r w:rsidR="00D86CB9">
        <w:t xml:space="preserve"> </w:t>
      </w:r>
      <w:r w:rsidRPr="00750C65">
        <w:t>D.Lgs. 231/01).</w:t>
      </w:r>
    </w:p>
    <w:p w14:paraId="4B7BA710" w14:textId="77777777" w:rsidR="00834FF0" w:rsidRPr="00750C65" w:rsidRDefault="00834FF0" w:rsidP="00834FF0">
      <w:pPr>
        <w:jc w:val="both"/>
      </w:pPr>
      <w:r w:rsidRPr="00750C65">
        <w:t>La presente procedura è altresì volta a prevenire il reato di cui all’art. 416 c.p. (associazione per delinquere), laddove finalizzato alla commissione dei reati di cui sopra.</w:t>
      </w:r>
    </w:p>
    <w:p w14:paraId="61C4DB97" w14:textId="77777777" w:rsidR="00834FF0" w:rsidRPr="00750C65" w:rsidRDefault="00834FF0" w:rsidP="00834FF0">
      <w:pPr>
        <w:pStyle w:val="bullet2"/>
        <w:numPr>
          <w:ilvl w:val="0"/>
          <w:numId w:val="0"/>
        </w:numPr>
        <w:ind w:left="360" w:right="-1"/>
        <w:rPr>
          <w:rFonts w:ascii="Times New Roman" w:hAnsi="Times New Roman"/>
          <w:b/>
          <w:szCs w:val="24"/>
        </w:rPr>
      </w:pPr>
    </w:p>
    <w:p w14:paraId="58291455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</w:rPr>
      </w:pPr>
      <w:r w:rsidRPr="00750C65">
        <w:rPr>
          <w:rFonts w:ascii="Times New Roman" w:hAnsi="Times New Roman"/>
          <w:b/>
        </w:rPr>
        <w:t>Destinatari</w:t>
      </w:r>
    </w:p>
    <w:p w14:paraId="3AFDF0F9" w14:textId="77777777" w:rsidR="00834FF0" w:rsidRPr="00750C65" w:rsidRDefault="00834FF0" w:rsidP="00834FF0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presente procedura, finalizzata alla prevenzione dei reati pocanzi menzionati, trova applicazione nei confronti di tutti coloro che, nell’esercizio dell’attività di propria competenza a favore della società, intervengono nella gestione dei flussi finanziari. In particolare:</w:t>
      </w:r>
    </w:p>
    <w:p w14:paraId="3B12501B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left="1077" w:right="-1" w:hanging="357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CdA</w:t>
      </w:r>
    </w:p>
    <w:p w14:paraId="4897F8DF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left="1077" w:right="-1" w:hanging="357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AD - Datore di Lavoro ex D.lgs. 81/08 - Gestore ambientale - Delegato in materia fiscale - Delegato in materia urbanistica e vincolistica - Trattamento dei dati personali</w:t>
      </w:r>
    </w:p>
    <w:p w14:paraId="09334D6B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left="1077" w:right="-1" w:hanging="357"/>
        <w:rPr>
          <w:rFonts w:ascii="Times New Roman" w:hAnsi="Times New Roman"/>
        </w:rPr>
      </w:pPr>
      <w:r w:rsidRPr="00750C65">
        <w:rPr>
          <w:rFonts w:ascii="Times New Roman" w:hAnsi="Times New Roman"/>
        </w:rPr>
        <w:t>Direttore Generale</w:t>
      </w:r>
    </w:p>
    <w:p w14:paraId="102DC383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Procuratore – Responsabile della Direzione Amministrazione, Finanza e Controllo di Gestione - delegato ex art. 16 D.Lgs. 81/08 (per la propria direzione)</w:t>
      </w:r>
    </w:p>
    <w:p w14:paraId="46B23090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Amministrazione, Finanza e Controllo</w:t>
      </w:r>
    </w:p>
    <w:p w14:paraId="3CFDD217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Amministrazione, Finanza e Controllo – Contabilità Generale e Bilancio </w:t>
      </w:r>
    </w:p>
    <w:p w14:paraId="707184A9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Amministrazione, Finanza e Controllo – Ciclo attivo</w:t>
      </w:r>
    </w:p>
    <w:p w14:paraId="52556B69" w14:textId="77777777" w:rsidR="003F2F76" w:rsidRPr="00750C65" w:rsidRDefault="003F2F76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Servizio Appalti e Approvvigionamenti – area approvvigionamento e magazzino</w:t>
      </w:r>
    </w:p>
    <w:p w14:paraId="7097CD72" w14:textId="0FF0A8F0" w:rsidR="0079560B" w:rsidRPr="00750C65" w:rsidRDefault="0079560B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Servizio Innovazione ricerca e sviluppo - Fundraising</w:t>
      </w:r>
    </w:p>
    <w:p w14:paraId="4DFB2C19" w14:textId="500BD283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Procuratore – Responsabile della Direzione Personale, Organizzazione e Sistemi - delegato ex art. 16 D.lgs. 81/08 (per la propria direzione)</w:t>
      </w:r>
    </w:p>
    <w:p w14:paraId="2F8E0A12" w14:textId="772531F9" w:rsidR="006758BA" w:rsidRPr="00750C65" w:rsidRDefault="006758BA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Amministrazione Risorse Umane</w:t>
      </w:r>
    </w:p>
    <w:p w14:paraId="37D799B8" w14:textId="77777777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lastRenderedPageBreak/>
        <w:t>Procuratore – Responsabile della Direzione Servizio Idrico Integrato - delegato ex art. 16 D.lgs. 81/08 (per la propria direzione)</w:t>
      </w:r>
    </w:p>
    <w:p w14:paraId="4174F8DC" w14:textId="00CC6863" w:rsidR="003F2F76" w:rsidRPr="00750C65" w:rsidRDefault="003F2F76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Servizio idrico integrato - pianificazione</w:t>
      </w:r>
    </w:p>
    <w:p w14:paraId="6530EB21" w14:textId="21652CD0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Procuratore – Responsabile della Direzione Igiene Ambientale - delegato ex art. 16 D.lgs. 81/08 (per la propria direzione)</w:t>
      </w:r>
    </w:p>
    <w:p w14:paraId="7D03CB0C" w14:textId="5F777EDF" w:rsidR="003F2F76" w:rsidRPr="00750C65" w:rsidRDefault="003F2F76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Servizio igiene ambientale – </w:t>
      </w:r>
      <w:r w:rsidR="00614256" w:rsidRPr="00750C65">
        <w:rPr>
          <w:rFonts w:ascii="Times New Roman" w:hAnsi="Times New Roman"/>
        </w:rPr>
        <w:t>commerciale e servizi gestionali</w:t>
      </w:r>
    </w:p>
    <w:p w14:paraId="481FBFAB" w14:textId="4F8C7BCD" w:rsidR="00193951" w:rsidRPr="00750C65" w:rsidRDefault="00193951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Servizio igiene ambientale – comunicazione ambientale e segreteria </w:t>
      </w:r>
    </w:p>
    <w:p w14:paraId="20B92F2D" w14:textId="453C0140" w:rsidR="00834FF0" w:rsidRPr="00750C65" w:rsidRDefault="00834FF0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Procuratore - Responsabile del Servizio Gestione Calore - delegato ex art. 16 D.lgs. 81/08 (perla propria direzione)</w:t>
      </w:r>
    </w:p>
    <w:p w14:paraId="2A08BB95" w14:textId="79EC5795" w:rsidR="003F2F76" w:rsidRPr="00750C65" w:rsidRDefault="003F2F76" w:rsidP="00834FF0">
      <w:pPr>
        <w:pStyle w:val="Corpodeltesto2"/>
        <w:numPr>
          <w:ilvl w:val="0"/>
          <w:numId w:val="6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Gestione calore</w:t>
      </w:r>
    </w:p>
    <w:p w14:paraId="7B53912F" w14:textId="77777777" w:rsidR="00834FF0" w:rsidRPr="00750C65" w:rsidRDefault="00834FF0" w:rsidP="00834FF0">
      <w:pPr>
        <w:spacing w:before="120"/>
        <w:jc w:val="both"/>
      </w:pPr>
    </w:p>
    <w:p w14:paraId="4FF5AEFC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</w:rPr>
      </w:pPr>
      <w:r w:rsidRPr="00750C65">
        <w:rPr>
          <w:rFonts w:ascii="Times New Roman" w:hAnsi="Times New Roman"/>
          <w:b/>
        </w:rPr>
        <w:t>Processi aziendali coinvolti</w:t>
      </w:r>
    </w:p>
    <w:p w14:paraId="1F46DD94" w14:textId="77777777" w:rsidR="00834FF0" w:rsidRPr="00750C65" w:rsidRDefault="00834FF0" w:rsidP="00834FF0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I Destinatari della presente procedura, per quanto rileva ai fini della prevenzione dei reati pocanzi menzionati, partecipano alla gestione dei flussi finanziari principalmente (ed a titolo esemplificativo) attraverso i seguenti processi aziendali:</w:t>
      </w:r>
    </w:p>
    <w:p w14:paraId="7CAF3D0C" w14:textId="77777777" w:rsidR="00C75422" w:rsidRPr="00750C65" w:rsidRDefault="00C75422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legale rappresentanza ed esercizio dei poteri di ordinaria e straordinaria amministrazione</w:t>
      </w:r>
    </w:p>
    <w:p w14:paraId="69C5DDBB" w14:textId="77777777" w:rsidR="00834FF0" w:rsidRPr="00750C65" w:rsidRDefault="00C75422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gestione dei flussi finanziari (ciclo attivo e ciclo passivo)</w:t>
      </w:r>
    </w:p>
    <w:p w14:paraId="66D8502F" w14:textId="77777777" w:rsidR="00C75422" w:rsidRPr="00750C65" w:rsidRDefault="00C75422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gestione dei flussi finanziari (ciclo attivo e passivo nei limiti di spesa indicati in procura)</w:t>
      </w:r>
    </w:p>
    <w:p w14:paraId="13890194" w14:textId="77777777" w:rsidR="00834FF0" w:rsidRPr="00750C65" w:rsidRDefault="00C75422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gestione dei conti correnti bancari e dei rapporti con gli istituti di credito</w:t>
      </w:r>
    </w:p>
    <w:p w14:paraId="70F0FC75" w14:textId="06669B9C" w:rsidR="003F2F76" w:rsidRPr="00750C65" w:rsidRDefault="003F2F76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gestione della cassa contanti e dei valori bollati</w:t>
      </w:r>
    </w:p>
    <w:p w14:paraId="2E0D63D5" w14:textId="77777777" w:rsidR="00B96677" w:rsidRPr="00750C65" w:rsidRDefault="00C75422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gestione delle attività prestate in forza di contratto di service</w:t>
      </w:r>
    </w:p>
    <w:p w14:paraId="3E92E3D7" w14:textId="77777777" w:rsidR="0079560B" w:rsidRPr="00750C65" w:rsidRDefault="00B96677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richiesta e gestione contributi pubblici</w:t>
      </w:r>
    </w:p>
    <w:p w14:paraId="0A0E50D4" w14:textId="7D0C3AFD" w:rsidR="00C75422" w:rsidRPr="00750C65" w:rsidRDefault="0079560B" w:rsidP="00834FF0">
      <w:pPr>
        <w:pStyle w:val="Paragrafoelenco"/>
        <w:numPr>
          <w:ilvl w:val="0"/>
          <w:numId w:val="7"/>
        </w:numPr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partecipazione a bandi di finanziamento e gestione contributi e sovvenzioni</w:t>
      </w:r>
      <w:r w:rsidR="00C75422" w:rsidRPr="00750C65">
        <w:rPr>
          <w:rFonts w:ascii="Times New Roman" w:hAnsi="Times New Roman" w:cs="Times New Roman"/>
          <w:sz w:val="24"/>
          <w:szCs w:val="24"/>
        </w:rPr>
        <w:t>.</w:t>
      </w:r>
    </w:p>
    <w:p w14:paraId="623F821F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396FC670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</w:rPr>
      </w:pPr>
      <w:r w:rsidRPr="00750C65">
        <w:rPr>
          <w:rFonts w:ascii="Times New Roman" w:hAnsi="Times New Roman"/>
          <w:b/>
        </w:rPr>
        <w:t>Documentazione integrativa</w:t>
      </w:r>
    </w:p>
    <w:p w14:paraId="101C951A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presente procedura richiama ed integra quanto già disciplinato nell’ambito della seguente documentazione:</w:t>
      </w:r>
    </w:p>
    <w:p w14:paraId="3390B4D4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Statuto </w:t>
      </w:r>
    </w:p>
    <w:p w14:paraId="5175ED33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Sistema di governance </w:t>
      </w:r>
    </w:p>
    <w:p w14:paraId="3419A29B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Codice Etico</w:t>
      </w:r>
    </w:p>
    <w:p w14:paraId="2A771619" w14:textId="53ABDAA7" w:rsidR="00AF2CDC" w:rsidRPr="00750C65" w:rsidRDefault="00AF2CDC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Procedura Segnalazioni </w:t>
      </w:r>
      <w:r w:rsidRPr="00750C65">
        <w:rPr>
          <w:rFonts w:ascii="Times New Roman" w:hAnsi="Times New Roman"/>
          <w:i/>
          <w:iCs/>
        </w:rPr>
        <w:t>Whistleblowing</w:t>
      </w:r>
    </w:p>
    <w:p w14:paraId="5E1BF61B" w14:textId="726DD602" w:rsidR="00F25856" w:rsidRPr="00750C65" w:rsidRDefault="00F25856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Piano triennale di prevenzione della corruzione e della trasparenza </w:t>
      </w:r>
      <w:r w:rsidR="00AF2CDC" w:rsidRPr="00750C65">
        <w:rPr>
          <w:rFonts w:ascii="Times New Roman" w:hAnsi="Times New Roman"/>
        </w:rPr>
        <w:t xml:space="preserve">2023 </w:t>
      </w:r>
      <w:r w:rsidRPr="00750C65">
        <w:rPr>
          <w:rFonts w:ascii="Times New Roman" w:hAnsi="Times New Roman"/>
        </w:rPr>
        <w:t xml:space="preserve">- </w:t>
      </w:r>
      <w:r w:rsidR="00AF2CDC" w:rsidRPr="00750C65">
        <w:rPr>
          <w:rFonts w:ascii="Times New Roman" w:hAnsi="Times New Roman"/>
        </w:rPr>
        <w:t>2025</w:t>
      </w:r>
    </w:p>
    <w:p w14:paraId="0510D748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Contratti di service</w:t>
      </w:r>
    </w:p>
    <w:p w14:paraId="721F9ED9" w14:textId="5D0772C6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Regolamento per la disciplina dei contratti </w:t>
      </w:r>
    </w:p>
    <w:p w14:paraId="421DE5CA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Comunicazioni DG 1/2003 (Disciplina cassa interna) ed 1/2004 (Integrazione alla Comunicazione DG 1/2003 – Disciplina cassa interna)</w:t>
      </w:r>
    </w:p>
    <w:p w14:paraId="10055313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Accordo aziendale “</w:t>
      </w:r>
      <w:r w:rsidRPr="00750C65">
        <w:rPr>
          <w:rFonts w:ascii="Times New Roman" w:hAnsi="Times New Roman"/>
          <w:i/>
        </w:rPr>
        <w:t>Trattamento di trasferta”</w:t>
      </w:r>
    </w:p>
    <w:p w14:paraId="3750A777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lastRenderedPageBreak/>
        <w:t>Procedura Interna per la gestione delle trasferte del personale dipendente 1/2013</w:t>
      </w:r>
    </w:p>
    <w:p w14:paraId="2C355679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Regolamento Interno per la gestione del fondo economale</w:t>
      </w:r>
    </w:p>
    <w:p w14:paraId="15433C6C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Procedura Interna per la gestione delle casse economali</w:t>
      </w:r>
    </w:p>
    <w:p w14:paraId="4F71B441" w14:textId="77777777" w:rsidR="00834FF0" w:rsidRPr="00750C65" w:rsidRDefault="00834FF0" w:rsidP="00834FF0">
      <w:pPr>
        <w:pStyle w:val="Corpodeltesto2"/>
        <w:numPr>
          <w:ilvl w:val="0"/>
          <w:numId w:val="8"/>
        </w:numPr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Altre procedure del presente MOG 231 cui si rinvia, per quanto di competenza, con particolare – ma non esclusivo – riferimento a:</w:t>
      </w:r>
    </w:p>
    <w:p w14:paraId="581D0438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1 (gestione dei rapporti con l’OdV) per quanto attiene ai flussi informativ</w:t>
      </w:r>
      <w:r w:rsidR="00345886" w:rsidRPr="00750C65">
        <w:rPr>
          <w:rFonts w:ascii="Times New Roman" w:hAnsi="Times New Roman" w:cs="Times New Roman"/>
          <w:sz w:val="24"/>
          <w:szCs w:val="24"/>
        </w:rPr>
        <w:t>i e le segnalazioni verso l’OdV;</w:t>
      </w:r>
    </w:p>
    <w:p w14:paraId="6C37B3AE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3 (gestione degli affidamenti di lavori, servizi e forniture) per quanto attiene agli acquisti;</w:t>
      </w:r>
    </w:p>
    <w:p w14:paraId="2FF50429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4 (gestione contabile, societaria e fiscale) per quanto attiene agli adempimenti fiscali e tributari;</w:t>
      </w:r>
    </w:p>
    <w:p w14:paraId="65AD6CBD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7 (anticorruzione e gestione dei rapporti con le PP.AA. ed i Privati) per quanto attiene ai flussi finanziari da e verso gli Enti Pubblici e i Privati (contributi, finanziamenti, mutui agevolati o altre erogazioni dello stesso tipo, comunque denominate, concessi o erogati dallo Stato, da altri enti pubblici, dall’Unione Europea o dagli Enti privati, …);</w:t>
      </w:r>
    </w:p>
    <w:p w14:paraId="49317251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10 (gestione dei rapporti consulenziali) per quanto attiene ai flussi verso i consulenti;</w:t>
      </w:r>
    </w:p>
    <w:p w14:paraId="08FB573C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12 (gestione delle attività commerciali ed industriali) per quanto attiene all’esecuzione dei contratti e la vendita di beni;</w:t>
      </w:r>
    </w:p>
    <w:p w14:paraId="2D4E490D" w14:textId="77777777" w:rsidR="00834FF0" w:rsidRPr="00750C65" w:rsidRDefault="00834FF0" w:rsidP="00834FF0">
      <w:pPr>
        <w:pStyle w:val="Paragrafoelenco"/>
        <w:numPr>
          <w:ilvl w:val="0"/>
          <w:numId w:val="9"/>
        </w:numPr>
        <w:spacing w:before="120" w:after="120" w:line="276" w:lineRule="auto"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C65">
        <w:rPr>
          <w:rFonts w:ascii="Times New Roman" w:hAnsi="Times New Roman" w:cs="Times New Roman"/>
          <w:sz w:val="24"/>
          <w:szCs w:val="24"/>
        </w:rPr>
        <w:t>procedura 13 (gestione dei rapporti infragruppo e di service) per quanto attiene ai servizi prestati in forza di apposito contratto di service.</w:t>
      </w:r>
    </w:p>
    <w:p w14:paraId="2F5550AA" w14:textId="77777777" w:rsidR="00834FF0" w:rsidRPr="00750C65" w:rsidRDefault="00834FF0" w:rsidP="00834FF0">
      <w:pPr>
        <w:pStyle w:val="Paragrafoelenco"/>
        <w:spacing w:before="120" w:after="120"/>
        <w:ind w:left="1080"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7045489" w14:textId="77777777" w:rsidR="00834FF0" w:rsidRPr="00750C65" w:rsidRDefault="00834FF0" w:rsidP="00834FF0">
      <w:pPr>
        <w:pStyle w:val="Paragrafoelenco"/>
        <w:spacing w:before="120" w:after="120"/>
        <w:ind w:left="1080"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C2BF03F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  <w:bCs/>
        </w:rPr>
      </w:pPr>
      <w:r w:rsidRPr="00750C65">
        <w:rPr>
          <w:rFonts w:ascii="Times New Roman" w:hAnsi="Times New Roman"/>
          <w:b/>
          <w:bCs/>
        </w:rPr>
        <w:t xml:space="preserve">Protocolli di prevenzione </w:t>
      </w:r>
    </w:p>
    <w:p w14:paraId="3CAC910E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Si precisa che API svolge una serie di servizi a favore di DGN (controllata), APE e ASST come da contratti agli atti della società, cui si rimanda nella loro formulazione attuale e nelle loro eventuali successive modifiche (di cui l’OdV deve essere tempestivamente informato), tra i quali:</w:t>
      </w:r>
    </w:p>
    <w:p w14:paraId="54A141A1" w14:textId="77777777" w:rsidR="002A6C51" w:rsidRPr="00750C65" w:rsidRDefault="00834FF0" w:rsidP="00834FF0">
      <w:pPr>
        <w:numPr>
          <w:ilvl w:val="0"/>
          <w:numId w:val="9"/>
        </w:numPr>
        <w:spacing w:before="120"/>
        <w:ind w:right="-1"/>
        <w:jc w:val="both"/>
        <w:rPr>
          <w:u w:val="single"/>
        </w:rPr>
      </w:pPr>
      <w:r w:rsidRPr="00750C65">
        <w:rPr>
          <w:u w:val="single"/>
        </w:rPr>
        <w:t>i servizi amministrativi</w:t>
      </w:r>
    </w:p>
    <w:p w14:paraId="43459CC7" w14:textId="17A6627F" w:rsidR="00834FF0" w:rsidRPr="00750C65" w:rsidRDefault="002A6C51" w:rsidP="00834FF0">
      <w:pPr>
        <w:numPr>
          <w:ilvl w:val="0"/>
          <w:numId w:val="9"/>
        </w:numPr>
        <w:spacing w:before="120"/>
        <w:ind w:right="-1"/>
        <w:jc w:val="both"/>
        <w:rPr>
          <w:u w:val="single"/>
        </w:rPr>
      </w:pPr>
      <w:r w:rsidRPr="00750C65">
        <w:rPr>
          <w:u w:val="single"/>
        </w:rPr>
        <w:t>il servizio di innovazione ricerca e sviluppo - fundraising</w:t>
      </w:r>
      <w:r w:rsidR="00834FF0" w:rsidRPr="00750C65">
        <w:rPr>
          <w:u w:val="single"/>
        </w:rPr>
        <w:t>.</w:t>
      </w:r>
    </w:p>
    <w:p w14:paraId="609C5E33" w14:textId="77777777" w:rsidR="00834FF0" w:rsidRPr="00750C65" w:rsidRDefault="00834FF0" w:rsidP="00834FF0">
      <w:pPr>
        <w:spacing w:before="120"/>
        <w:ind w:right="-1"/>
        <w:jc w:val="both"/>
      </w:pPr>
      <w:r w:rsidRPr="00750C65">
        <w:t xml:space="preserve">Al fine di consentire un efficace controllo sui rapporti di service, API e DGN (controllata) nonché le società contrattualmente legate da un contratto di service (APE e ASST) adottano MOG231 speculari, agevolando la confrontabilità e l’omogeneità delle procedure. </w:t>
      </w:r>
    </w:p>
    <w:p w14:paraId="69D6B78C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Pertanto, nello svolgimento dei servizi amministrativi e di controllo di gestione prestati a favore della controllata nonché delle società legate da apposito contratto di service, API è tenuta ad osservare la presente procedura, unitamente agli eventuali ulteriori presidi previsti nel MOG 231 di DGN, APE ed ASST.</w:t>
      </w:r>
    </w:p>
    <w:p w14:paraId="6D4C5AB6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I rapporti di service tra API e DGN, APE e ASST sono regolati nell’apposita procedura (proc. 13) del presente MOG 231, cui si fa rinvio.</w:t>
      </w:r>
    </w:p>
    <w:p w14:paraId="2540E4B1" w14:textId="77777777" w:rsidR="00834FF0" w:rsidRPr="00750C65" w:rsidRDefault="00CC1782" w:rsidP="00CC1782">
      <w:pPr>
        <w:spacing w:before="120"/>
        <w:ind w:right="-1"/>
        <w:jc w:val="center"/>
      </w:pPr>
      <w:r w:rsidRPr="00750C65">
        <w:t>***</w:t>
      </w:r>
    </w:p>
    <w:p w14:paraId="4592156B" w14:textId="77777777" w:rsidR="00CC1782" w:rsidRPr="00750C65" w:rsidRDefault="00CC1782" w:rsidP="00834FF0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104C8FC7" w14:textId="77777777" w:rsidR="00CC1782" w:rsidRPr="00750C65" w:rsidRDefault="00CC1782" w:rsidP="00CC178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Le risorse finanziarie della società devono essere amministrate secondo criteri di massima trasparenza, correttezza e veridicità in ossequio alla normativa vigente in ambito contabile e fiscale, in modo da consentire la ricostruzione puntuale della causale e dell’iter seguito per ogni flusso finanziario in entrata ed in uscita.</w:t>
      </w:r>
    </w:p>
    <w:p w14:paraId="643479F7" w14:textId="77777777" w:rsidR="00CC1782" w:rsidRPr="00750C65" w:rsidRDefault="00CC1782" w:rsidP="00CC1782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Nello specifico, occorre conformarsi a quanto segue:</w:t>
      </w:r>
    </w:p>
    <w:p w14:paraId="4C37ED2B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18926ECE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left="426" w:right="-1"/>
        <w:rPr>
          <w:rFonts w:ascii="Times New Roman" w:hAnsi="Times New Roman"/>
          <w:i/>
        </w:rPr>
      </w:pPr>
      <w:r w:rsidRPr="00750C65">
        <w:rPr>
          <w:rFonts w:ascii="Times New Roman" w:hAnsi="Times New Roman"/>
          <w:i/>
          <w:u w:val="single"/>
        </w:rPr>
        <w:t>poteri di spesa</w:t>
      </w:r>
    </w:p>
    <w:p w14:paraId="44B182B1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Nessuna funzione aziendale deve dare od eseguire disposizioni in contrasto con i poteri conferiti (sulla base del sistema di governance e/o dell’organigramma), pertanto:</w:t>
      </w:r>
    </w:p>
    <w:p w14:paraId="68EFA06E" w14:textId="77777777" w:rsidR="00834FF0" w:rsidRPr="00750C65" w:rsidRDefault="00834FF0" w:rsidP="00834FF0">
      <w:pPr>
        <w:numPr>
          <w:ilvl w:val="0"/>
          <w:numId w:val="11"/>
        </w:numPr>
        <w:spacing w:before="120"/>
        <w:ind w:right="-1"/>
        <w:jc w:val="both"/>
      </w:pPr>
      <w:r w:rsidRPr="00750C65">
        <w:t>è vietato eseguire disposizioni in assenza dell’autorizzazione dei soggetti dotati di poteri di spesa;</w:t>
      </w:r>
    </w:p>
    <w:p w14:paraId="4BEA9DE3" w14:textId="77777777" w:rsidR="00834FF0" w:rsidRPr="00750C65" w:rsidRDefault="00834FF0" w:rsidP="00834FF0">
      <w:pPr>
        <w:numPr>
          <w:ilvl w:val="0"/>
          <w:numId w:val="11"/>
        </w:numPr>
        <w:spacing w:before="120"/>
        <w:ind w:right="-1"/>
        <w:jc w:val="both"/>
      </w:pPr>
      <w:r w:rsidRPr="00750C65">
        <w:t>ogni disposizione generante un flusso finanziario deve essere tracciabile e trasparente in modo da consentire la verifica dei processi di decisione, autorizzazione ed esecuzione;</w:t>
      </w:r>
    </w:p>
    <w:p w14:paraId="6E8EE083" w14:textId="1A597CC8" w:rsidR="003F2F76" w:rsidRPr="00750C65" w:rsidRDefault="00834FF0" w:rsidP="00834FF0">
      <w:pPr>
        <w:numPr>
          <w:ilvl w:val="0"/>
          <w:numId w:val="11"/>
        </w:numPr>
        <w:spacing w:before="120"/>
        <w:ind w:right="-1"/>
        <w:jc w:val="both"/>
      </w:pPr>
      <w:r w:rsidRPr="00750C65">
        <w:t>ciascuna disposizione deve essere supportata da documentazione adeguata, chiara e completa da conservare agli atti (anche in forma telematica), in modo da consentire in ogni momento</w:t>
      </w:r>
      <w:r w:rsidR="003F2F76" w:rsidRPr="00750C65">
        <w:t xml:space="preserve"> l’identificazione dei soggetti che hanno eseguito, autorizzato e verificato l’operazione, nonché in modo da consentire</w:t>
      </w:r>
      <w:r w:rsidRPr="00750C65">
        <w:t xml:space="preserve"> il controllo sulle </w:t>
      </w:r>
      <w:r w:rsidR="003F2F76" w:rsidRPr="00750C65">
        <w:t xml:space="preserve">ragioni </w:t>
      </w:r>
      <w:r w:rsidRPr="00750C65">
        <w:t xml:space="preserve">dell’operazione e </w:t>
      </w:r>
      <w:r w:rsidR="003F2F76" w:rsidRPr="00750C65">
        <w:t>delle sue caratteristiche.</w:t>
      </w:r>
    </w:p>
    <w:p w14:paraId="63FDAF55" w14:textId="77777777" w:rsidR="00834FF0" w:rsidRPr="00750C65" w:rsidRDefault="00834FF0" w:rsidP="00834FF0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Società è tenuta a conferire apposita delega scritta al soggetto che opera sul conto corrente bancario laddove diverso dall’intestatario dello stesso e/o dal soggetto dotato del potere di spesa.</w:t>
      </w:r>
    </w:p>
    <w:p w14:paraId="163C4D17" w14:textId="7714465F" w:rsidR="00834FF0" w:rsidRPr="00750C65" w:rsidRDefault="00834FF0" w:rsidP="00834FF0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Società è, inoltre, tenuta a conferire apposita delega scritta agli eventuali soggetti autorizzati ad operare a mezzo internet banking.</w:t>
      </w:r>
    </w:p>
    <w:p w14:paraId="5FDCACCF" w14:textId="77777777" w:rsidR="003F2F76" w:rsidRPr="00750C65" w:rsidRDefault="003F2F76" w:rsidP="00834FF0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</w:p>
    <w:p w14:paraId="1B1692FD" w14:textId="77777777" w:rsidR="003F2F76" w:rsidRPr="00750C65" w:rsidRDefault="003F2F76" w:rsidP="00B96677">
      <w:pPr>
        <w:pStyle w:val="Titolo3"/>
        <w:numPr>
          <w:ilvl w:val="0"/>
          <w:numId w:val="10"/>
        </w:numPr>
        <w:spacing w:before="120" w:after="0" w:line="276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</w:pPr>
      <w:bookmarkStart w:id="0" w:name="_Toc64307275"/>
      <w:r w:rsidRPr="00750C6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gestione dei rapporti con gli istituti di credito</w:t>
      </w:r>
      <w:bookmarkEnd w:id="0"/>
      <w:r w:rsidRPr="00750C6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 xml:space="preserve"> </w:t>
      </w:r>
    </w:p>
    <w:p w14:paraId="4C11AF41" w14:textId="77777777" w:rsidR="003F2F76" w:rsidRPr="00750C65" w:rsidRDefault="003F2F76" w:rsidP="003F2F76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I rapporti con gli istituti di credito possono essere tenuti solo dai soggetti all’uopo autorizzati e/o delegati (sulla base del sistema di </w:t>
      </w:r>
      <w:r w:rsidRPr="00750C65">
        <w:rPr>
          <w:rFonts w:ascii="Times New Roman" w:hAnsi="Times New Roman"/>
          <w:i/>
          <w:iCs/>
        </w:rPr>
        <w:t>governance</w:t>
      </w:r>
      <w:r w:rsidRPr="00750C65">
        <w:rPr>
          <w:rFonts w:ascii="Times New Roman" w:hAnsi="Times New Roman"/>
        </w:rPr>
        <w:t xml:space="preserve">). </w:t>
      </w:r>
    </w:p>
    <w:p w14:paraId="5D7D250E" w14:textId="73BCF5DA" w:rsidR="003F2F76" w:rsidRPr="00750C65" w:rsidRDefault="003F2F76" w:rsidP="003F2F76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Con specifico </w:t>
      </w:r>
      <w:r w:rsidR="00B96677" w:rsidRPr="00750C65">
        <w:rPr>
          <w:rFonts w:ascii="Times New Roman" w:hAnsi="Times New Roman"/>
        </w:rPr>
        <w:t>riferimento</w:t>
      </w:r>
      <w:r w:rsidRPr="00750C65">
        <w:rPr>
          <w:rFonts w:ascii="Times New Roman" w:hAnsi="Times New Roman"/>
        </w:rPr>
        <w:t xml:space="preserve"> alla gestione dei contratti di finanziamento:</w:t>
      </w:r>
    </w:p>
    <w:p w14:paraId="25037F20" w14:textId="77777777" w:rsidR="003F2F76" w:rsidRPr="00750C65" w:rsidRDefault="003F2F76" w:rsidP="003F2F76">
      <w:pPr>
        <w:pStyle w:val="Corpodeltesto2"/>
        <w:numPr>
          <w:ilvl w:val="0"/>
          <w:numId w:val="19"/>
        </w:numPr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le decisioni relative alle politiche di finanza strategica ed operativa (es. accensione o estinzione di contratti di finanziamento, apertura/chiusura di conti correnti bancari), devono essere adeguatamente documentate ed autorizzate, nel rispetto di quanto previsto nel sistema di </w:t>
      </w:r>
      <w:r w:rsidRPr="00750C65">
        <w:rPr>
          <w:rFonts w:ascii="Times New Roman" w:hAnsi="Times New Roman"/>
          <w:i/>
          <w:iCs/>
        </w:rPr>
        <w:t>governance</w:t>
      </w:r>
      <w:r w:rsidRPr="00750C65">
        <w:rPr>
          <w:rFonts w:ascii="Times New Roman" w:hAnsi="Times New Roman"/>
        </w:rPr>
        <w:t xml:space="preserve">; </w:t>
      </w:r>
    </w:p>
    <w:p w14:paraId="1230BDD4" w14:textId="77777777" w:rsidR="003F2F76" w:rsidRPr="00750C65" w:rsidRDefault="003F2F76" w:rsidP="003F2F76">
      <w:pPr>
        <w:pStyle w:val="Corpodeltesto2"/>
        <w:numPr>
          <w:ilvl w:val="0"/>
          <w:numId w:val="19"/>
        </w:numPr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tutti gli atti di disposizione che comportano lo spostamento o l’impiego di fondi sui conti correnti intestati alla Società devono essere adeguatamente documentati ed autorizzati dalla risorsa/funzione dotata dei relativi poteri sulla base di quanto previsto nel sistema di </w:t>
      </w:r>
      <w:r w:rsidRPr="00750C65">
        <w:rPr>
          <w:rFonts w:ascii="Times New Roman" w:hAnsi="Times New Roman"/>
          <w:i/>
          <w:iCs/>
        </w:rPr>
        <w:t>governance</w:t>
      </w:r>
      <w:r w:rsidRPr="00750C65">
        <w:rPr>
          <w:rFonts w:ascii="Times New Roman" w:hAnsi="Times New Roman"/>
        </w:rPr>
        <w:t>;</w:t>
      </w:r>
    </w:p>
    <w:p w14:paraId="72EF2144" w14:textId="77777777" w:rsidR="003F2F76" w:rsidRPr="00750C65" w:rsidRDefault="003F2F76" w:rsidP="003F2F76">
      <w:pPr>
        <w:pStyle w:val="Corpodeltesto2"/>
        <w:numPr>
          <w:ilvl w:val="0"/>
          <w:numId w:val="19"/>
        </w:numPr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lastRenderedPageBreak/>
        <w:t>deve essere garantita l’evidenza documentale delle diverse fasi di negoziazione del contratto di finanziamento;</w:t>
      </w:r>
    </w:p>
    <w:p w14:paraId="5ADC10D5" w14:textId="77777777" w:rsidR="003F2F76" w:rsidRPr="00750C65" w:rsidRDefault="003F2F76" w:rsidP="003F2F76">
      <w:pPr>
        <w:pStyle w:val="Corpodeltesto2"/>
        <w:numPr>
          <w:ilvl w:val="0"/>
          <w:numId w:val="19"/>
        </w:numPr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tutti i contratti di finanziamento devono essere autorizzati dalla funzione dotata dei relativi poteri sulla base di quanto previsto nel sistema di </w:t>
      </w:r>
      <w:r w:rsidRPr="00750C65">
        <w:rPr>
          <w:rFonts w:ascii="Times New Roman" w:hAnsi="Times New Roman"/>
          <w:i/>
          <w:iCs/>
        </w:rPr>
        <w:t>governance</w:t>
      </w:r>
      <w:r w:rsidRPr="00750C65">
        <w:rPr>
          <w:rFonts w:ascii="Times New Roman" w:hAnsi="Times New Roman"/>
        </w:rPr>
        <w:t>.</w:t>
      </w:r>
    </w:p>
    <w:p w14:paraId="2266237B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436BDB08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>modalità di circolazione delle finanze e gestione della cassa contanti</w:t>
      </w:r>
    </w:p>
    <w:p w14:paraId="11846415" w14:textId="77777777" w:rsidR="002B5829" w:rsidRPr="00750C65" w:rsidRDefault="002B5829" w:rsidP="00B96677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Ciascun valore di Stato – sia esso cartamoneta, filigrana, metallo o valore bollato – deve essere custodito e gestito al fine di evitare ogni danneggiamento, deterioramento o distruzione, eccezion fatta per l’usura determinata dall’ordinario utilizzo.</w:t>
      </w:r>
    </w:p>
    <w:p w14:paraId="1BBEA856" w14:textId="7AE26D9B" w:rsidR="00834FF0" w:rsidRPr="00750C65" w:rsidRDefault="00834FF0" w:rsidP="00834FF0">
      <w:pPr>
        <w:spacing w:before="120"/>
        <w:ind w:right="-1"/>
        <w:jc w:val="both"/>
      </w:pPr>
      <w:r w:rsidRPr="00750C65">
        <w:t>È vietato:</w:t>
      </w:r>
    </w:p>
    <w:p w14:paraId="7C4CAA54" w14:textId="1083DE2E" w:rsidR="00834FF0" w:rsidRPr="00750C65" w:rsidRDefault="00834FF0" w:rsidP="00834FF0">
      <w:pPr>
        <w:numPr>
          <w:ilvl w:val="0"/>
          <w:numId w:val="12"/>
        </w:numPr>
        <w:spacing w:before="120"/>
        <w:ind w:right="-1"/>
        <w:jc w:val="both"/>
        <w:rPr>
          <w:u w:val="single"/>
        </w:rPr>
      </w:pPr>
      <w:r w:rsidRPr="00750C65">
        <w:t xml:space="preserve">far circolare in entrata od in uscita denaro contate che – per singola causale – superi l’importo </w:t>
      </w:r>
      <w:r w:rsidR="002B5829" w:rsidRPr="00750C65">
        <w:t>normativamente previsto</w:t>
      </w:r>
      <w:r w:rsidRPr="00750C65">
        <w:rPr>
          <w:rStyle w:val="Rimandonotaapidipagina"/>
        </w:rPr>
        <w:footnoteReference w:id="2"/>
      </w:r>
      <w:r w:rsidRPr="00750C65">
        <w:t>;</w:t>
      </w:r>
    </w:p>
    <w:p w14:paraId="242F5679" w14:textId="77777777" w:rsidR="00834FF0" w:rsidRPr="00750C65" w:rsidRDefault="00834FF0" w:rsidP="00834FF0">
      <w:pPr>
        <w:numPr>
          <w:ilvl w:val="0"/>
          <w:numId w:val="12"/>
        </w:numPr>
        <w:spacing w:before="120"/>
        <w:ind w:right="140"/>
        <w:jc w:val="both"/>
      </w:pPr>
      <w:r w:rsidRPr="00750C65">
        <w:t>eseguire movimenti finanziari in assenza di previo documento contabile giustificativo debitamente approvato;</w:t>
      </w:r>
    </w:p>
    <w:p w14:paraId="47152078" w14:textId="77777777" w:rsidR="00834FF0" w:rsidRPr="00750C65" w:rsidRDefault="00834FF0" w:rsidP="00834FF0">
      <w:pPr>
        <w:numPr>
          <w:ilvl w:val="0"/>
          <w:numId w:val="12"/>
        </w:numPr>
        <w:spacing w:before="120"/>
        <w:ind w:right="140"/>
        <w:jc w:val="both"/>
      </w:pPr>
      <w:r w:rsidRPr="00750C65">
        <w:t>corrispondere per contanti le somme dovute a titolo di retribuzione, pagamento tributi e contributi.</w:t>
      </w:r>
    </w:p>
    <w:p w14:paraId="108B847F" w14:textId="77777777" w:rsidR="00834FF0" w:rsidRPr="00750C65" w:rsidRDefault="00834FF0" w:rsidP="00834FF0">
      <w:pPr>
        <w:spacing w:before="120"/>
        <w:ind w:right="140"/>
        <w:jc w:val="both"/>
      </w:pPr>
      <w:r w:rsidRPr="00750C65">
        <w:t>È fatto obbligo di archiviare (anche telematicamente) tutti i documenti contabili in entrata ed in uscita giustificativi di tutte le operazioni finanziarie, a prescindere dal mezzo di pagamento utilizzato.</w:t>
      </w:r>
    </w:p>
    <w:p w14:paraId="2720D80D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Per quanto concerne il servizio di cassa contanti interna, si fa rinvio a quanto disposto nelle Comunicazioni DG 1/2003 (Disciplina cassa interna) ed 1/2004 (Integrazione alla Comunicazione DG 1/2003 – Disciplina cassa interna). </w:t>
      </w:r>
    </w:p>
    <w:p w14:paraId="320D3786" w14:textId="1B503570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Per quanto concerne il funzionamento della Cassa economale, si fa rinvio a quanto disposto nel Regolamento Interno per la gestione del fondo economale ed alla Procedura Interna per la gestione delle casse economali.</w:t>
      </w:r>
    </w:p>
    <w:p w14:paraId="6F1EDBF5" w14:textId="77777777" w:rsidR="002B5829" w:rsidRPr="00750C65" w:rsidRDefault="002B5829" w:rsidP="00834FF0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7836E4D6" w14:textId="77777777" w:rsidR="002B5829" w:rsidRPr="00750C65" w:rsidRDefault="002B5829" w:rsidP="002B5829">
      <w:pPr>
        <w:pStyle w:val="Titolo3"/>
        <w:numPr>
          <w:ilvl w:val="1"/>
          <w:numId w:val="18"/>
        </w:numPr>
        <w:spacing w:before="120" w:after="0" w:line="276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</w:pPr>
      <w:bookmarkStart w:id="1" w:name="_Toc36713003"/>
      <w:r w:rsidRPr="00750C6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banconote e monete</w:t>
      </w:r>
      <w:bookmarkEnd w:id="1"/>
    </w:p>
    <w:p w14:paraId="6CF5ED5C" w14:textId="77777777" w:rsidR="002B5829" w:rsidRPr="00750C65" w:rsidRDefault="002B5829" w:rsidP="002B5829">
      <w:pPr>
        <w:pStyle w:val="Corpodeltesto2"/>
        <w:spacing w:before="120" w:line="276" w:lineRule="auto"/>
        <w:ind w:right="-1"/>
        <w:rPr>
          <w:rFonts w:ascii="Times New Roman" w:hAnsi="Times New Roman"/>
          <w:i/>
        </w:rPr>
      </w:pPr>
      <w:r w:rsidRPr="00750C65">
        <w:rPr>
          <w:rFonts w:ascii="Times New Roman" w:hAnsi="Times New Roman"/>
          <w:iCs/>
        </w:rPr>
        <w:t>Nel caso di</w:t>
      </w:r>
      <w:r w:rsidRPr="00750C65">
        <w:rPr>
          <w:rFonts w:ascii="Times New Roman" w:hAnsi="Times New Roman"/>
          <w:i/>
        </w:rPr>
        <w:t xml:space="preserve"> </w:t>
      </w:r>
      <w:r w:rsidRPr="00750C65">
        <w:rPr>
          <w:rFonts w:ascii="Times New Roman" w:hAnsi="Times New Roman"/>
        </w:rPr>
        <w:t>ricezione di banconota o moneta sospetta di falso, la Società deve:</w:t>
      </w:r>
    </w:p>
    <w:p w14:paraId="319FD9EF" w14:textId="77777777" w:rsidR="002B5829" w:rsidRPr="00750C65" w:rsidRDefault="002B5829" w:rsidP="002B5829">
      <w:pPr>
        <w:pStyle w:val="Corpodeltesto2"/>
        <w:numPr>
          <w:ilvl w:val="0"/>
          <w:numId w:val="24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redigere apposito verbale (avvalendosi del </w:t>
      </w:r>
      <w:r w:rsidRPr="00750C65">
        <w:rPr>
          <w:rFonts w:ascii="Times New Roman" w:hAnsi="Times New Roman"/>
          <w:i/>
        </w:rPr>
        <w:t xml:space="preserve">Report 2.2.1 – Segnalazione Monete, Banconote e Valori Bollati Sospetti </w:t>
      </w:r>
      <w:r w:rsidRPr="00750C65">
        <w:rPr>
          <w:rFonts w:ascii="Times New Roman" w:hAnsi="Times New Roman"/>
        </w:rPr>
        <w:t>ovvero mediante altra forma scritta comunque idonea) contenente data e ora del rinvenimento, fonte di provenienza della banconota o moneta e sottoscrizione del soggetto rinveniente;</w:t>
      </w:r>
    </w:p>
    <w:p w14:paraId="5C7874DF" w14:textId="77777777" w:rsidR="002B5829" w:rsidRPr="00750C65" w:rsidRDefault="002B5829" w:rsidP="002B5829">
      <w:pPr>
        <w:pStyle w:val="Corpodeltesto2"/>
        <w:numPr>
          <w:ilvl w:val="0"/>
          <w:numId w:val="24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allegare al report copia fotostatica della banconota ovvero della moneta sospetta di falso;</w:t>
      </w:r>
    </w:p>
    <w:p w14:paraId="1428810E" w14:textId="77777777" w:rsidR="002B5829" w:rsidRPr="00750C65" w:rsidRDefault="002B5829" w:rsidP="002B5829">
      <w:pPr>
        <w:pStyle w:val="Corpodeltesto2"/>
        <w:numPr>
          <w:ilvl w:val="0"/>
          <w:numId w:val="24"/>
        </w:numPr>
        <w:spacing w:before="120" w:line="276" w:lineRule="auto"/>
        <w:ind w:right="140"/>
        <w:rPr>
          <w:rFonts w:ascii="Times New Roman" w:hAnsi="Times New Roman"/>
        </w:rPr>
      </w:pPr>
      <w:bookmarkStart w:id="2" w:name="_Hlk34410428"/>
      <w:r w:rsidRPr="00750C65">
        <w:rPr>
          <w:rFonts w:ascii="Times New Roman" w:hAnsi="Times New Roman"/>
        </w:rPr>
        <w:lastRenderedPageBreak/>
        <w:t>consegnare la banconota o moneta sospetta di falso agli sportelli della Filiali della Banca d’Italia che offrono il servizio di ‘verifica della banconota sospetta di falsità’ ovvero agli sportelli delle banche commerciali o degli uffici postali e conservare la copia del relativo verbale di ritiro;</w:t>
      </w:r>
    </w:p>
    <w:bookmarkEnd w:id="2"/>
    <w:p w14:paraId="70EBBB18" w14:textId="77777777" w:rsidR="002B5829" w:rsidRPr="00750C65" w:rsidRDefault="002B5829" w:rsidP="002B5829">
      <w:pPr>
        <w:pStyle w:val="Corpodeltesto2"/>
        <w:numPr>
          <w:ilvl w:val="0"/>
          <w:numId w:val="24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ove possibile, chiudere il report esponendo l’esito dell’accertamento svolto dal Centro Nazionale di Analisi (CNA) ovvero dalle Autorità competenti.;</w:t>
      </w:r>
    </w:p>
    <w:p w14:paraId="1E756CB9" w14:textId="77777777" w:rsidR="002B5829" w:rsidRPr="00750C65" w:rsidRDefault="002B5829" w:rsidP="002B5829">
      <w:pPr>
        <w:pStyle w:val="Corpodeltesto2"/>
        <w:numPr>
          <w:ilvl w:val="0"/>
          <w:numId w:val="24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conservare il report così redatto in apposito archivio (anche telematico).</w:t>
      </w:r>
    </w:p>
    <w:p w14:paraId="19D8C95B" w14:textId="77777777" w:rsidR="002B5829" w:rsidRPr="00750C65" w:rsidRDefault="002B5829" w:rsidP="002B5829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</w:p>
    <w:p w14:paraId="2CB15ADD" w14:textId="77777777" w:rsidR="002B5829" w:rsidRPr="00750C65" w:rsidRDefault="002B5829" w:rsidP="002B5829">
      <w:pPr>
        <w:pStyle w:val="Titolo3"/>
        <w:numPr>
          <w:ilvl w:val="1"/>
          <w:numId w:val="18"/>
        </w:numPr>
        <w:spacing w:before="120" w:after="0" w:line="276" w:lineRule="auto"/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</w:pPr>
      <w:bookmarkStart w:id="3" w:name="_Toc36713004"/>
      <w:r w:rsidRPr="00750C65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u w:val="single"/>
        </w:rPr>
        <w:t>valori bollati</w:t>
      </w:r>
      <w:bookmarkEnd w:id="3"/>
    </w:p>
    <w:p w14:paraId="2AF7899B" w14:textId="77777777" w:rsidR="002B5829" w:rsidRPr="00750C65" w:rsidRDefault="002B5829" w:rsidP="002B5829">
      <w:pPr>
        <w:pStyle w:val="Corpodeltesto2"/>
        <w:spacing w:before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È fatto obbligo di:</w:t>
      </w:r>
    </w:p>
    <w:p w14:paraId="7566D76C" w14:textId="77777777" w:rsidR="002B5829" w:rsidRPr="00750C65" w:rsidRDefault="002B5829" w:rsidP="002B5829">
      <w:pPr>
        <w:pStyle w:val="Corpodeltesto2"/>
        <w:numPr>
          <w:ilvl w:val="0"/>
          <w:numId w:val="26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mantenere aggiornato apposito registro di carico/scarico dei valori bollati (avvalendosi del </w:t>
      </w:r>
      <w:r w:rsidRPr="00750C65">
        <w:rPr>
          <w:rFonts w:ascii="Times New Roman" w:hAnsi="Times New Roman"/>
          <w:i/>
        </w:rPr>
        <w:t xml:space="preserve">Report 2.2.2 – Report Valori Bollati </w:t>
      </w:r>
      <w:r w:rsidRPr="00750C65">
        <w:rPr>
          <w:rFonts w:ascii="Times New Roman" w:hAnsi="Times New Roman"/>
        </w:rPr>
        <w:t>ovvero in altra forma comunque idonea) sul quale devono essere riportati i movimenti di carico ed i movimenti di scarico (con sintetica descrizione della causale), suddivisi per pezzature e con indicazione del numero di pezzi e del valore complessivo;</w:t>
      </w:r>
    </w:p>
    <w:p w14:paraId="05633B74" w14:textId="77777777" w:rsidR="002B5829" w:rsidRPr="00750C65" w:rsidRDefault="002B5829" w:rsidP="002B5829">
      <w:pPr>
        <w:pStyle w:val="Corpodeltesto2"/>
        <w:numPr>
          <w:ilvl w:val="0"/>
          <w:numId w:val="26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acquistare i valori bollati presso gli esercizi abilitati previa vidimazione da parte degli stessi di elenco dettagliato dei valori acquistati.</w:t>
      </w:r>
    </w:p>
    <w:p w14:paraId="4AEC964D" w14:textId="77777777" w:rsidR="002B5829" w:rsidRPr="00750C65" w:rsidRDefault="002B5829" w:rsidP="002B5829">
      <w:pPr>
        <w:pStyle w:val="Corpodeltesto2"/>
        <w:spacing w:before="120" w:line="276" w:lineRule="auto"/>
        <w:ind w:right="-1"/>
        <w:rPr>
          <w:rFonts w:ascii="Times New Roman" w:hAnsi="Times New Roman"/>
          <w:iCs/>
        </w:rPr>
      </w:pPr>
    </w:p>
    <w:p w14:paraId="714ED48C" w14:textId="77777777" w:rsidR="002B5829" w:rsidRPr="00750C65" w:rsidRDefault="002B5829" w:rsidP="002B5829">
      <w:pPr>
        <w:pStyle w:val="Corpodeltesto2"/>
        <w:spacing w:before="120" w:line="276" w:lineRule="auto"/>
        <w:ind w:right="-1"/>
        <w:rPr>
          <w:rFonts w:ascii="Times New Roman" w:hAnsi="Times New Roman"/>
          <w:iCs/>
        </w:rPr>
      </w:pPr>
      <w:r w:rsidRPr="00750C65">
        <w:rPr>
          <w:rFonts w:ascii="Times New Roman" w:hAnsi="Times New Roman"/>
          <w:iCs/>
        </w:rPr>
        <w:t>Nel caso di ricezione di valore bollato sospetto di falso, è fatto obbligo di:</w:t>
      </w:r>
    </w:p>
    <w:p w14:paraId="783CF11F" w14:textId="77777777" w:rsidR="002B5829" w:rsidRPr="00750C65" w:rsidRDefault="002B5829" w:rsidP="002B5829">
      <w:pPr>
        <w:pStyle w:val="Corpodeltesto2"/>
        <w:numPr>
          <w:ilvl w:val="0"/>
          <w:numId w:val="25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redigere apposito verbale (avvalendosi del </w:t>
      </w:r>
      <w:r w:rsidRPr="00750C65">
        <w:rPr>
          <w:rFonts w:ascii="Times New Roman" w:hAnsi="Times New Roman"/>
          <w:i/>
          <w:iCs/>
        </w:rPr>
        <w:t>Report 2.2.1 – Segnalazione Monete, Banconote e Valori Bollati Sospetti</w:t>
      </w:r>
      <w:r w:rsidRPr="00750C65">
        <w:rPr>
          <w:rFonts w:ascii="Times New Roman" w:hAnsi="Times New Roman"/>
        </w:rPr>
        <w:t xml:space="preserve"> ovvero in altra forma comunque idonea) contenente data e ora del rinvenimento, fonte di provenienza del valore bollato e sottoscrizione del soggetto rinveniente;</w:t>
      </w:r>
    </w:p>
    <w:p w14:paraId="54FB329D" w14:textId="77777777" w:rsidR="002B5829" w:rsidRPr="00750C65" w:rsidRDefault="002B5829" w:rsidP="002B5829">
      <w:pPr>
        <w:pStyle w:val="Corpodeltesto2"/>
        <w:numPr>
          <w:ilvl w:val="0"/>
          <w:numId w:val="25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allegare al verbale copia fotostatica del valore bollato sospetto di falso;</w:t>
      </w:r>
    </w:p>
    <w:p w14:paraId="43D190B8" w14:textId="77777777" w:rsidR="002B5829" w:rsidRPr="00750C65" w:rsidRDefault="002B5829" w:rsidP="002B5829">
      <w:pPr>
        <w:pStyle w:val="Corpodeltesto2"/>
        <w:numPr>
          <w:ilvl w:val="0"/>
          <w:numId w:val="25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far verificare alle competenti Pubbliche Autorità l’autenticità del valore bollato, rendendo accessibili i dati raccolti a mezzo del verbale citato;</w:t>
      </w:r>
    </w:p>
    <w:p w14:paraId="59A9BAF5" w14:textId="77777777" w:rsidR="002B5829" w:rsidRPr="00750C65" w:rsidRDefault="002B5829" w:rsidP="002B5829">
      <w:pPr>
        <w:pStyle w:val="Corpodeltesto2"/>
        <w:numPr>
          <w:ilvl w:val="0"/>
          <w:numId w:val="25"/>
        </w:numPr>
        <w:spacing w:before="120" w:line="276" w:lineRule="auto"/>
        <w:ind w:right="140"/>
        <w:rPr>
          <w:rFonts w:ascii="Times New Roman" w:hAnsi="Times New Roman"/>
        </w:rPr>
      </w:pPr>
      <w:r w:rsidRPr="00750C65">
        <w:rPr>
          <w:rFonts w:ascii="Times New Roman" w:hAnsi="Times New Roman"/>
        </w:rPr>
        <w:t>ove possibile, chiudere il verbale esponendo l’esito dell’accertamento della Pubblica Autorità, se noto;</w:t>
      </w:r>
    </w:p>
    <w:p w14:paraId="769DFA22" w14:textId="5B06BF0F" w:rsidR="00C1443A" w:rsidRPr="00750C65" w:rsidRDefault="002B5829" w:rsidP="002B5829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conservare il verbale così redatto in apposito archivio (anche telematico).</w:t>
      </w:r>
    </w:p>
    <w:p w14:paraId="1E8815B1" w14:textId="77777777" w:rsidR="002B5829" w:rsidRPr="00750C65" w:rsidRDefault="002B5829" w:rsidP="002B5829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7171B8F5" w14:textId="46AA748C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>controllo dei flussi finanziari</w:t>
      </w:r>
    </w:p>
    <w:p w14:paraId="32D18F22" w14:textId="77777777" w:rsidR="00834FF0" w:rsidRPr="00750C65" w:rsidRDefault="00834FF0" w:rsidP="00834FF0">
      <w:pPr>
        <w:spacing w:before="120"/>
        <w:ind w:right="-1"/>
        <w:jc w:val="both"/>
        <w:rPr>
          <w:i/>
        </w:rPr>
      </w:pPr>
      <w:r w:rsidRPr="00750C65">
        <w:t>È fatto obbligo di:</w:t>
      </w:r>
    </w:p>
    <w:p w14:paraId="2C6CD635" w14:textId="77777777" w:rsidR="00834FF0" w:rsidRPr="00750C65" w:rsidRDefault="00834FF0" w:rsidP="00834FF0">
      <w:pPr>
        <w:numPr>
          <w:ilvl w:val="0"/>
          <w:numId w:val="13"/>
        </w:numPr>
        <w:spacing w:before="120"/>
        <w:ind w:right="-1"/>
        <w:jc w:val="both"/>
      </w:pPr>
      <w:r w:rsidRPr="00750C65">
        <w:t>tenere prima nota contabile con tutte le operazioni giornaliere, specificante le causali di movimento, i soggetti titolari del rapporto e la modalità di avvenuta circolazione delle finanze;</w:t>
      </w:r>
    </w:p>
    <w:p w14:paraId="66627456" w14:textId="77777777" w:rsidR="00834FF0" w:rsidRPr="00750C65" w:rsidRDefault="00834FF0" w:rsidP="00834FF0">
      <w:pPr>
        <w:numPr>
          <w:ilvl w:val="0"/>
          <w:numId w:val="13"/>
        </w:numPr>
        <w:spacing w:before="120"/>
        <w:ind w:right="-1"/>
        <w:jc w:val="both"/>
      </w:pPr>
      <w:r w:rsidRPr="00750C65">
        <w:lastRenderedPageBreak/>
        <w:t>tenere elenco dei conti correnti riferibili alla Società;</w:t>
      </w:r>
    </w:p>
    <w:p w14:paraId="6A15F336" w14:textId="77777777" w:rsidR="00834FF0" w:rsidRPr="00750C65" w:rsidRDefault="00834FF0" w:rsidP="00834FF0">
      <w:pPr>
        <w:numPr>
          <w:ilvl w:val="0"/>
          <w:numId w:val="13"/>
        </w:numPr>
        <w:spacing w:before="120"/>
        <w:ind w:right="-1"/>
        <w:jc w:val="both"/>
      </w:pPr>
      <w:r w:rsidRPr="00750C65">
        <w:t>richiedere ed ottenere mensilmente estratto conto agli istituti di credito concernente i conti correnti della Società;</w:t>
      </w:r>
    </w:p>
    <w:p w14:paraId="67205500" w14:textId="77777777" w:rsidR="00834FF0" w:rsidRPr="00750C65" w:rsidRDefault="00834FF0" w:rsidP="00834FF0">
      <w:pPr>
        <w:numPr>
          <w:ilvl w:val="0"/>
          <w:numId w:val="13"/>
        </w:numPr>
        <w:spacing w:before="120"/>
        <w:ind w:right="-1"/>
        <w:jc w:val="both"/>
      </w:pPr>
      <w:r w:rsidRPr="00750C65">
        <w:t>conservare i contratti originanti le obbligazioni di pagamento adempiute.</w:t>
      </w:r>
    </w:p>
    <w:p w14:paraId="5E69E0E7" w14:textId="77777777" w:rsidR="00834FF0" w:rsidRPr="00750C65" w:rsidRDefault="00834FF0" w:rsidP="00834FF0">
      <w:pPr>
        <w:pStyle w:val="Corpodeltesto2"/>
        <w:spacing w:before="120"/>
        <w:ind w:left="1080" w:right="-1"/>
        <w:rPr>
          <w:rFonts w:ascii="Times New Roman" w:hAnsi="Times New Roman"/>
        </w:rPr>
      </w:pPr>
    </w:p>
    <w:p w14:paraId="1EE5DA15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 xml:space="preserve">flussi afferenti </w:t>
      </w:r>
      <w:proofErr w:type="gramStart"/>
      <w:r w:rsidRPr="00750C65">
        <w:rPr>
          <w:rFonts w:ascii="Times New Roman" w:hAnsi="Times New Roman"/>
          <w:i/>
          <w:u w:val="single"/>
        </w:rPr>
        <w:t>i</w:t>
      </w:r>
      <w:proofErr w:type="gramEnd"/>
      <w:r w:rsidRPr="00750C65">
        <w:rPr>
          <w:rFonts w:ascii="Times New Roman" w:hAnsi="Times New Roman"/>
          <w:i/>
          <w:u w:val="single"/>
        </w:rPr>
        <w:t xml:space="preserve"> rimborsi spese </w:t>
      </w:r>
    </w:p>
    <w:p w14:paraId="72EC1B23" w14:textId="693B1D5F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Le spese </w:t>
      </w:r>
      <w:r w:rsidR="002B5829" w:rsidRPr="00750C65">
        <w:rPr>
          <w:rFonts w:ascii="Times New Roman" w:hAnsi="Times New Roman"/>
        </w:rPr>
        <w:t>di trasferta de</w:t>
      </w:r>
      <w:r w:rsidRPr="00750C65">
        <w:rPr>
          <w:rFonts w:ascii="Times New Roman" w:hAnsi="Times New Roman"/>
        </w:rPr>
        <w:t xml:space="preserve">vono sposare il duplice criterio di economicità e opportunità nel rispetto degli obiettivi della società, dei principi condivisi mediante l’adozione del Codice Etico e delle procedure aziendali (con particolare riguardo alla Procedura Interna per la gestione delle trasferte del personale dipendente 1/2013), nonché degli accordi aziendali esistenti (con particolare riguardo all’accordo Trattamento di trasferta). </w:t>
      </w:r>
    </w:p>
    <w:p w14:paraId="66DA00CD" w14:textId="77777777" w:rsidR="00834FF0" w:rsidRPr="00750C65" w:rsidRDefault="00834FF0" w:rsidP="00834FF0">
      <w:pPr>
        <w:pStyle w:val="Corpodeltesto2"/>
        <w:spacing w:before="120" w:after="120" w:line="276" w:lineRule="auto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In caso di trasferta, la risorsa interessata è tenuta a:</w:t>
      </w:r>
    </w:p>
    <w:p w14:paraId="545DB8AD" w14:textId="77777777" w:rsidR="00834FF0" w:rsidRPr="00750C65" w:rsidRDefault="00834FF0" w:rsidP="00834FF0">
      <w:pPr>
        <w:numPr>
          <w:ilvl w:val="0"/>
          <w:numId w:val="14"/>
        </w:numPr>
        <w:spacing w:before="120"/>
        <w:ind w:right="-1"/>
        <w:jc w:val="both"/>
      </w:pPr>
      <w:r w:rsidRPr="00750C65">
        <w:t xml:space="preserve">conservare i documenti a sostegno delle spese sostenute durante il viaggio; </w:t>
      </w:r>
    </w:p>
    <w:p w14:paraId="2A829685" w14:textId="77777777" w:rsidR="00834FF0" w:rsidRPr="00750C65" w:rsidRDefault="00834FF0" w:rsidP="00834FF0">
      <w:pPr>
        <w:numPr>
          <w:ilvl w:val="0"/>
          <w:numId w:val="14"/>
        </w:numPr>
        <w:spacing w:before="120"/>
        <w:ind w:right="-1"/>
        <w:jc w:val="both"/>
      </w:pPr>
      <w:r w:rsidRPr="00750C65">
        <w:t>al termine della trasferta, redigere apposita nota spesa dettagliata allegando i documenti di cui sopra;</w:t>
      </w:r>
    </w:p>
    <w:p w14:paraId="6ED545B4" w14:textId="77777777" w:rsidR="00834FF0" w:rsidRPr="00750C65" w:rsidRDefault="00834FF0" w:rsidP="00834FF0">
      <w:pPr>
        <w:numPr>
          <w:ilvl w:val="0"/>
          <w:numId w:val="14"/>
        </w:numPr>
        <w:spacing w:before="120"/>
        <w:ind w:right="-1"/>
        <w:jc w:val="both"/>
      </w:pPr>
      <w:r w:rsidRPr="00750C65">
        <w:t>trasmettere la nota spese ed i relativi allegati all’ufficio Personale Organizzazione Sistemi - Amministrazione risorse umane, il quale ne verifica l’inerenza.</w:t>
      </w:r>
      <w:bookmarkStart w:id="4" w:name="_Hlk21940693"/>
    </w:p>
    <w:bookmarkEnd w:id="4"/>
    <w:p w14:paraId="06DFFEFC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Verificata l’inerenza delle spese documentate, la nota spese deve essere vistata dal Dirigente/Procuratore – Responsabile del settore di appartenenza della risorsa che ne autorizza il rimborso.</w:t>
      </w:r>
    </w:p>
    <w:p w14:paraId="5A45AEEF" w14:textId="77777777" w:rsidR="00834FF0" w:rsidRPr="00750C65" w:rsidRDefault="00834FF0" w:rsidP="00834FF0">
      <w:pPr>
        <w:spacing w:before="120"/>
        <w:ind w:right="-1"/>
        <w:jc w:val="both"/>
      </w:pPr>
      <w:r w:rsidRPr="00750C65">
        <w:t xml:space="preserve">Per quanto riguarda l’acquisto di beni e servizi, si rinvia alla procedura di gestione degli affidamenti di lavori, servizi e forniture (proc. 3) del presente MOG 231. </w:t>
      </w:r>
    </w:p>
    <w:p w14:paraId="3E54F92A" w14:textId="77777777" w:rsidR="00834FF0" w:rsidRPr="00750C65" w:rsidRDefault="00834FF0" w:rsidP="00834FF0">
      <w:pPr>
        <w:pStyle w:val="Corpodeltesto2"/>
        <w:spacing w:before="120"/>
        <w:ind w:left="720" w:right="-1"/>
        <w:rPr>
          <w:rFonts w:ascii="Times New Roman" w:hAnsi="Times New Roman"/>
          <w:i/>
          <w:u w:val="single"/>
        </w:rPr>
      </w:pPr>
    </w:p>
    <w:p w14:paraId="5CE7A123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 xml:space="preserve">flussi afferenti </w:t>
      </w:r>
      <w:proofErr w:type="gramStart"/>
      <w:r w:rsidRPr="00750C65">
        <w:rPr>
          <w:rFonts w:ascii="Times New Roman" w:hAnsi="Times New Roman"/>
          <w:i/>
          <w:u w:val="single"/>
        </w:rPr>
        <w:t>i</w:t>
      </w:r>
      <w:proofErr w:type="gramEnd"/>
      <w:r w:rsidRPr="00750C65">
        <w:rPr>
          <w:rFonts w:ascii="Times New Roman" w:hAnsi="Times New Roman"/>
          <w:i/>
          <w:u w:val="single"/>
        </w:rPr>
        <w:t xml:space="preserve"> rapporti con i fornitori e i consulenti </w:t>
      </w:r>
    </w:p>
    <w:p w14:paraId="3D1DB699" w14:textId="77777777" w:rsidR="00834FF0" w:rsidRPr="00750C65" w:rsidRDefault="00834FF0" w:rsidP="00834FF0">
      <w:pPr>
        <w:spacing w:before="120" w:line="276" w:lineRule="auto"/>
        <w:ind w:right="-1"/>
        <w:jc w:val="both"/>
      </w:pPr>
      <w:r w:rsidRPr="00750C65">
        <w:t xml:space="preserve">Per quanto attiene ai rapporti con i fornitori e i consulenti si rinvia alle procedure di gestione degli affidamenti di lavori, servizi e forniture (proc. 3) e di gestione dei rapporti consulenziali (proc. 10) del presente MOG231. </w:t>
      </w:r>
    </w:p>
    <w:p w14:paraId="37F2E13A" w14:textId="77777777" w:rsidR="00834FF0" w:rsidRDefault="00834FF0" w:rsidP="00D86CB9">
      <w:pPr>
        <w:spacing w:before="100" w:beforeAutospacing="1" w:after="100" w:afterAutospacing="1" w:line="360" w:lineRule="auto"/>
        <w:jc w:val="both"/>
      </w:pPr>
      <w:r w:rsidRPr="00750C65">
        <w:t xml:space="preserve">L’ufficio Amministrazione, Finanza e Controllo può procedere al pagamento della fattura e/o della parcella solo in presenza di apposito collaudo da parte del soggetto che ha formulato l’RA ovvero suo Responsabile, a riprova dell’avvenuto svolgimento della prestazione da parte del fornitore e/o del consulente. </w:t>
      </w:r>
    </w:p>
    <w:p w14:paraId="7BB73925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>normativa antiriciclaggio</w:t>
      </w:r>
    </w:p>
    <w:p w14:paraId="3F1840CB" w14:textId="77777777" w:rsidR="00834FF0" w:rsidRPr="00750C65" w:rsidRDefault="00834FF0" w:rsidP="00834FF0">
      <w:pPr>
        <w:spacing w:before="120"/>
        <w:ind w:right="-1"/>
        <w:jc w:val="both"/>
      </w:pPr>
      <w:r w:rsidRPr="00750C65">
        <w:t>La gestione dei flussi finanziari deve avvenire secondo la normativa vigente, nel rispetto delle misure ulteriori di cui al Titolo III, Capo III, Sezione IV del D.lgs. 231/2007.</w:t>
      </w:r>
    </w:p>
    <w:p w14:paraId="2B3B3A76" w14:textId="77777777" w:rsidR="00D86CB9" w:rsidRDefault="00D86CB9" w:rsidP="00834FF0">
      <w:pPr>
        <w:spacing w:before="120"/>
        <w:ind w:right="-1"/>
        <w:jc w:val="both"/>
      </w:pPr>
    </w:p>
    <w:p w14:paraId="207A8B6F" w14:textId="4ABF62B9" w:rsidR="00834FF0" w:rsidRPr="00750C65" w:rsidRDefault="00834FF0" w:rsidP="00834FF0">
      <w:pPr>
        <w:spacing w:before="120"/>
        <w:ind w:right="-1"/>
        <w:jc w:val="both"/>
      </w:pPr>
      <w:r w:rsidRPr="00750C65">
        <w:lastRenderedPageBreak/>
        <w:t>In particolare, in applicazione degli artt. 49 ss. del D.lgs. 231/2007:</w:t>
      </w:r>
    </w:p>
    <w:p w14:paraId="1843D314" w14:textId="77777777" w:rsidR="00834FF0" w:rsidRPr="00750C65" w:rsidRDefault="00834FF0" w:rsidP="00834FF0">
      <w:pPr>
        <w:numPr>
          <w:ilvl w:val="0"/>
          <w:numId w:val="15"/>
        </w:numPr>
        <w:spacing w:before="120"/>
        <w:ind w:right="-1"/>
        <w:jc w:val="both"/>
      </w:pPr>
      <w:r w:rsidRPr="00750C65">
        <w:t>sono vietati:</w:t>
      </w:r>
    </w:p>
    <w:p w14:paraId="7D05711E" w14:textId="7F123F0A" w:rsidR="00834FF0" w:rsidRPr="00750C65" w:rsidRDefault="00834FF0" w:rsidP="00834FF0">
      <w:pPr>
        <w:numPr>
          <w:ilvl w:val="1"/>
          <w:numId w:val="16"/>
        </w:numPr>
        <w:spacing w:before="120"/>
        <w:ind w:right="-1"/>
        <w:jc w:val="both"/>
      </w:pPr>
      <w:r w:rsidRPr="00750C65">
        <w:t xml:space="preserve">il trasferimento di denaro contante e di titoli al portatore in euro o in valuta estera, effettuato a qualsiasi titolo tra soggetti diversi, siano esse persone fisiche o giuridiche, quando il valore oggetto di trasferimento, è complessivamente pari o superiore </w:t>
      </w:r>
      <w:r w:rsidR="002B5829" w:rsidRPr="00750C65">
        <w:t>all’importo normativamente previsto</w:t>
      </w:r>
      <w:r w:rsidRPr="00750C65">
        <w:rPr>
          <w:vertAlign w:val="superscript"/>
        </w:rPr>
        <w:footnoteReference w:id="3"/>
      </w:r>
      <w:r w:rsidRPr="00750C65">
        <w:t xml:space="preserve"> ovvero nel caso in cui sia effettuato con più pagamenti inferiori alla soglia che appaiono artificiosamente frazionati;</w:t>
      </w:r>
    </w:p>
    <w:p w14:paraId="54D17758" w14:textId="77777777" w:rsidR="00834FF0" w:rsidRPr="00750C65" w:rsidRDefault="00834FF0" w:rsidP="00834FF0">
      <w:pPr>
        <w:numPr>
          <w:ilvl w:val="1"/>
          <w:numId w:val="16"/>
        </w:numPr>
        <w:spacing w:before="120"/>
        <w:ind w:right="-1"/>
        <w:jc w:val="both"/>
      </w:pPr>
      <w:bookmarkStart w:id="5" w:name="_Hlk491946451"/>
      <w:r w:rsidRPr="00750C65">
        <w:t>il trasferimento può tuttavia essere eseguito per il tramite di banche, Poste Italiane s.p.a., istituti di moneta elettronica e istituti di pagamento mediante disposizione accettata per iscritto da tali enti, previa consegna ai medesimi della somma in contanti;</w:t>
      </w:r>
    </w:p>
    <w:p w14:paraId="02DC5718" w14:textId="77777777" w:rsidR="00834FF0" w:rsidRPr="00750C65" w:rsidRDefault="00834FF0" w:rsidP="00834FF0">
      <w:pPr>
        <w:numPr>
          <w:ilvl w:val="1"/>
          <w:numId w:val="16"/>
        </w:numPr>
        <w:spacing w:before="120"/>
        <w:ind w:right="-1"/>
        <w:jc w:val="both"/>
      </w:pPr>
      <w:r w:rsidRPr="00750C65">
        <w:t>il trasferimento di libretti di deposito bancari o postali al portatore che, ove esistenti, sono estinti dal portatore entro il 31 dicembre 2018;</w:t>
      </w:r>
    </w:p>
    <w:p w14:paraId="5A05EB50" w14:textId="34FD02CE" w:rsidR="00834FF0" w:rsidRPr="00750C65" w:rsidRDefault="00834FF0" w:rsidP="00834FF0">
      <w:pPr>
        <w:numPr>
          <w:ilvl w:val="1"/>
          <w:numId w:val="16"/>
        </w:numPr>
        <w:spacing w:before="120"/>
        <w:ind w:right="-1"/>
        <w:jc w:val="both"/>
      </w:pPr>
      <w:r w:rsidRPr="00750C65">
        <w:t xml:space="preserve">l’apertura, in qualunque forma, di conti o libretti di risparmio </w:t>
      </w:r>
      <w:r w:rsidR="002B5829" w:rsidRPr="00750C65">
        <w:t>o prodotti di moneta elettronica in f</w:t>
      </w:r>
      <w:r w:rsidRPr="00750C65">
        <w:t>orma anonima o con intestazione fittizia;</w:t>
      </w:r>
    </w:p>
    <w:p w14:paraId="302153BA" w14:textId="12667B67" w:rsidR="00834FF0" w:rsidRPr="00750C65" w:rsidRDefault="00834FF0" w:rsidP="00834FF0">
      <w:pPr>
        <w:numPr>
          <w:ilvl w:val="1"/>
          <w:numId w:val="16"/>
        </w:numPr>
        <w:spacing w:before="120"/>
        <w:ind w:right="-1"/>
        <w:jc w:val="both"/>
      </w:pPr>
      <w:r w:rsidRPr="00750C65">
        <w:t xml:space="preserve">l’utilizzo, in qualunque forma, di conti o libretti di risparmio </w:t>
      </w:r>
      <w:r w:rsidR="002B5829" w:rsidRPr="00750C65">
        <w:t>o prodotti di moneta elettronica i</w:t>
      </w:r>
      <w:r w:rsidRPr="00750C65">
        <w:t>n forma anonima o con intestazione fittizia aperti presso Stati esteri.</w:t>
      </w:r>
    </w:p>
    <w:bookmarkEnd w:id="5"/>
    <w:p w14:paraId="0995D420" w14:textId="77777777" w:rsidR="00834FF0" w:rsidRPr="00750C65" w:rsidRDefault="00834FF0" w:rsidP="00834FF0">
      <w:pPr>
        <w:numPr>
          <w:ilvl w:val="0"/>
          <w:numId w:val="15"/>
        </w:numPr>
        <w:spacing w:before="120"/>
        <w:ind w:right="-1"/>
        <w:jc w:val="both"/>
      </w:pPr>
      <w:r w:rsidRPr="00750C65">
        <w:t xml:space="preserve">gli assegni bancari e postali emessi </w:t>
      </w:r>
      <w:bookmarkStart w:id="6" w:name="_Hlk491957369"/>
      <w:r w:rsidRPr="00750C65">
        <w:t xml:space="preserve">per importi pari o superiori a euro mille </w:t>
      </w:r>
      <w:bookmarkEnd w:id="6"/>
      <w:r w:rsidRPr="00750C65">
        <w:t>devono recare l'indicazione del nome o della ragione sociale del beneficiario e la clausola di non trasferibilità;</w:t>
      </w:r>
    </w:p>
    <w:p w14:paraId="53F78306" w14:textId="77777777" w:rsidR="00834FF0" w:rsidRPr="00750C65" w:rsidRDefault="00834FF0" w:rsidP="00834FF0">
      <w:pPr>
        <w:numPr>
          <w:ilvl w:val="0"/>
          <w:numId w:val="15"/>
        </w:numPr>
        <w:spacing w:before="120"/>
        <w:ind w:right="-1"/>
        <w:jc w:val="both"/>
      </w:pPr>
      <w:r w:rsidRPr="00750C65">
        <w:t>gli assegni bancari e postali emessi all'ordine del traente possono essere girati unicamente per l'incasso a una banca o a Poste Italiane s.p.a.;</w:t>
      </w:r>
    </w:p>
    <w:p w14:paraId="596A6E3F" w14:textId="77777777" w:rsidR="00834FF0" w:rsidRPr="00750C65" w:rsidRDefault="00834FF0" w:rsidP="00834FF0">
      <w:pPr>
        <w:numPr>
          <w:ilvl w:val="0"/>
          <w:numId w:val="15"/>
        </w:numPr>
        <w:spacing w:before="120"/>
        <w:ind w:right="-1"/>
        <w:jc w:val="both"/>
      </w:pPr>
      <w:r w:rsidRPr="00750C65">
        <w:t>il rilascio di assegni circolari, vaglia postali e cambiari di importo inferiore a euro mille può essere richiesto, per iscritto, senza la clausola di non trasferibilità;</w:t>
      </w:r>
    </w:p>
    <w:p w14:paraId="63144465" w14:textId="77777777" w:rsidR="00834FF0" w:rsidRPr="00750C65" w:rsidRDefault="00834FF0" w:rsidP="00834FF0">
      <w:pPr>
        <w:numPr>
          <w:ilvl w:val="0"/>
          <w:numId w:val="15"/>
        </w:numPr>
        <w:spacing w:before="120"/>
        <w:ind w:right="-1"/>
        <w:jc w:val="both"/>
      </w:pPr>
      <w:r w:rsidRPr="00750C65">
        <w:t>il richiedente di assegno circolare, vaglia cambiario o mezzo equivalente, intestato a terzi ed emesso con la clausola di non trasferibilità, può chiedere il ritiro della provvista previa restituzione del titolo all'emittente.</w:t>
      </w:r>
    </w:p>
    <w:p w14:paraId="1B90CAE8" w14:textId="77777777" w:rsidR="00834FF0" w:rsidRPr="00750C65" w:rsidRDefault="00834FF0" w:rsidP="00834FF0">
      <w:pPr>
        <w:pStyle w:val="Corpodeltesto2"/>
        <w:spacing w:before="120"/>
        <w:ind w:left="1080" w:right="-1"/>
        <w:rPr>
          <w:rFonts w:ascii="Times New Roman" w:hAnsi="Times New Roman"/>
        </w:rPr>
      </w:pPr>
    </w:p>
    <w:p w14:paraId="1CC4F58F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>spendita di contributi, finanziamenti, mutui agevolati o altre erogazioni dello stesso tipo, comunque denominate, concessi o erogati dallo Stato, da altri enti pubblici o dall’Unione Europea ovvero da Enti privati</w:t>
      </w:r>
    </w:p>
    <w:p w14:paraId="4B0D292B" w14:textId="77777777" w:rsidR="00834FF0" w:rsidRPr="00750C65" w:rsidRDefault="00834FF0" w:rsidP="00834FF0">
      <w:pPr>
        <w:pStyle w:val="Corpodeltesto2"/>
        <w:spacing w:before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>La società deve:</w:t>
      </w:r>
    </w:p>
    <w:p w14:paraId="52F135A1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eseguire il flusso finanziario in uscita in ottemperanza alle regole in materia di poteri di spesa e per il solo fine per cui è stato erogato;</w:t>
      </w:r>
    </w:p>
    <w:p w14:paraId="0AA3479E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 xml:space="preserve">formare un fascicolo contenente la documentazione sottostante al flusso finanziario in entrata; </w:t>
      </w:r>
    </w:p>
    <w:p w14:paraId="34FF41FB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inserire nel fascicolo il documento comprovante il flusso finanziario in uscita, sottoscritto dal soggetto dotato del corrispettivo potere di spesa e dalla funzione aziendale che ha materialmente dato corso al flusso finanziario;</w:t>
      </w:r>
    </w:p>
    <w:p w14:paraId="3F92FBE5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lastRenderedPageBreak/>
        <w:t>rispettare quanto previsto nella procedura in materia di anticorruzione e gestione dei rapporti con le PP.AA. ed i Privati (proc. 7) del presente MOG231 per quanto concerne la gestione e la spendita di contributi.</w:t>
      </w:r>
    </w:p>
    <w:p w14:paraId="04D66580" w14:textId="77777777" w:rsidR="00834FF0" w:rsidRPr="00750C65" w:rsidRDefault="00834FF0" w:rsidP="00345886">
      <w:pPr>
        <w:pStyle w:val="Corpodeltesto2"/>
        <w:spacing w:before="120"/>
        <w:ind w:right="-1"/>
        <w:rPr>
          <w:rFonts w:ascii="Times New Roman" w:hAnsi="Times New Roman"/>
        </w:rPr>
      </w:pPr>
    </w:p>
    <w:p w14:paraId="300082CB" w14:textId="77777777" w:rsidR="00834FF0" w:rsidRPr="00750C65" w:rsidRDefault="00834FF0" w:rsidP="00834FF0">
      <w:pPr>
        <w:pStyle w:val="Corpodeltesto2"/>
        <w:numPr>
          <w:ilvl w:val="0"/>
          <w:numId w:val="10"/>
        </w:numPr>
        <w:spacing w:before="120"/>
        <w:ind w:right="-1"/>
        <w:rPr>
          <w:rFonts w:ascii="Times New Roman" w:hAnsi="Times New Roman"/>
          <w:i/>
          <w:u w:val="single"/>
        </w:rPr>
      </w:pPr>
      <w:r w:rsidRPr="00750C65">
        <w:rPr>
          <w:rFonts w:ascii="Times New Roman" w:hAnsi="Times New Roman"/>
          <w:i/>
          <w:u w:val="single"/>
        </w:rPr>
        <w:t xml:space="preserve">tracciabilità dei flussi finanziari (ex L. 13 agosto 2010 n° 136 e </w:t>
      </w:r>
      <w:proofErr w:type="spellStart"/>
      <w:r w:rsidRPr="00750C65">
        <w:rPr>
          <w:rFonts w:ascii="Times New Roman" w:hAnsi="Times New Roman"/>
          <w:i/>
          <w:u w:val="single"/>
        </w:rPr>
        <w:t>succ</w:t>
      </w:r>
      <w:proofErr w:type="spellEnd"/>
      <w:r w:rsidRPr="00750C65">
        <w:rPr>
          <w:rFonts w:ascii="Times New Roman" w:hAnsi="Times New Roman"/>
          <w:i/>
          <w:u w:val="single"/>
        </w:rPr>
        <w:t xml:space="preserve">. modifiche, D.L. 12 novembre 2010 n° 187 e </w:t>
      </w:r>
      <w:proofErr w:type="spellStart"/>
      <w:r w:rsidRPr="00750C65">
        <w:rPr>
          <w:rFonts w:ascii="Times New Roman" w:hAnsi="Times New Roman"/>
          <w:i/>
          <w:u w:val="single"/>
        </w:rPr>
        <w:t>succ</w:t>
      </w:r>
      <w:proofErr w:type="spellEnd"/>
      <w:r w:rsidRPr="00750C65">
        <w:rPr>
          <w:rFonts w:ascii="Times New Roman" w:hAnsi="Times New Roman"/>
          <w:i/>
          <w:u w:val="single"/>
        </w:rPr>
        <w:t xml:space="preserve">. modifiche, Determinazione n° 8 del 18 novembre 2010 dell’Autorità sui Contratti Pubblici di lavori, servizi, forniture Determinazione n° 10 del 22 dicembre 2010, Determinazione n° 4 del 7 luglio 2011 e </w:t>
      </w:r>
      <w:proofErr w:type="spellStart"/>
      <w:r w:rsidRPr="00750C65">
        <w:rPr>
          <w:rFonts w:ascii="Times New Roman" w:hAnsi="Times New Roman"/>
          <w:i/>
          <w:u w:val="single"/>
        </w:rPr>
        <w:t>succ</w:t>
      </w:r>
      <w:proofErr w:type="spellEnd"/>
      <w:r w:rsidRPr="00750C65">
        <w:rPr>
          <w:rFonts w:ascii="Times New Roman" w:hAnsi="Times New Roman"/>
          <w:i/>
          <w:u w:val="single"/>
        </w:rPr>
        <w:t>. determinazioni).</w:t>
      </w:r>
    </w:p>
    <w:p w14:paraId="1EA66E6E" w14:textId="77777777" w:rsidR="00834FF0" w:rsidRPr="00750C65" w:rsidRDefault="00834FF0" w:rsidP="00834FF0">
      <w:pPr>
        <w:pStyle w:val="Corpodeltesto2"/>
        <w:spacing w:before="120"/>
        <w:ind w:left="720" w:right="-1"/>
        <w:rPr>
          <w:rFonts w:ascii="Times New Roman" w:hAnsi="Times New Roman"/>
          <w:i/>
          <w:u w:val="single"/>
        </w:rPr>
      </w:pPr>
    </w:p>
    <w:p w14:paraId="71E72CC7" w14:textId="77777777" w:rsidR="00834FF0" w:rsidRPr="00750C65" w:rsidRDefault="00834FF0" w:rsidP="00834FF0">
      <w:pPr>
        <w:spacing w:after="120"/>
        <w:ind w:right="-1"/>
        <w:jc w:val="both"/>
      </w:pPr>
      <w:r w:rsidRPr="00750C65">
        <w:t>In occasione di qualunque lavoro, servizio o fornitura pubblica, la società –</w:t>
      </w:r>
      <w:r w:rsidRPr="00750C65">
        <w:rPr>
          <w:u w:val="single"/>
        </w:rPr>
        <w:t>in qualità di stazione appaltante</w:t>
      </w:r>
      <w:r w:rsidRPr="00750C65">
        <w:t xml:space="preserve"> – deve:  </w:t>
      </w:r>
    </w:p>
    <w:p w14:paraId="4CADBEAF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inserire nei contratti sottoscritti con gli appaltatori relativi a lavori, servizi e forniture, apposita clausola con la quale i contraenti assumono gli obblighi di tracciabilità dei flussi finanziari menzionati;</w:t>
      </w:r>
    </w:p>
    <w:p w14:paraId="40792B19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verificare che nei contratti sottoscritti con i subappaltatori ed i subcontraenti della commessa sia inserita apposita clausola con la quale costoro assumono gli obblighi di tracciabilità dei flussi finanziari menzionati;</w:t>
      </w:r>
    </w:p>
    <w:p w14:paraId="03772AAA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procedere alla risoluzione del rapporto contrattuale con i privati che siano inadempienti agli obblighi di tracciabilità finanziaria.</w:t>
      </w:r>
    </w:p>
    <w:p w14:paraId="0DAC614D" w14:textId="77777777" w:rsidR="00834FF0" w:rsidRPr="00750C65" w:rsidRDefault="00834FF0" w:rsidP="00834FF0">
      <w:pPr>
        <w:spacing w:after="120"/>
        <w:ind w:right="-1"/>
        <w:jc w:val="both"/>
      </w:pPr>
      <w:r w:rsidRPr="00750C65">
        <w:t>La società è tenuta, altresì, ad ottemperare alle prescrizioni contenute nella Procedura di Gestione degli Affidamenti di lavori, servizi e forniture (Proc. 3) del presente MOG 231.</w:t>
      </w:r>
    </w:p>
    <w:p w14:paraId="291D7A86" w14:textId="77777777" w:rsidR="00834FF0" w:rsidRPr="00750C65" w:rsidRDefault="00834FF0" w:rsidP="00834FF0">
      <w:pPr>
        <w:spacing w:after="120"/>
        <w:ind w:right="-1"/>
        <w:jc w:val="both"/>
      </w:pPr>
      <w:r w:rsidRPr="00750C65">
        <w:t xml:space="preserve">In occasione di qualunque lavoro, servizio o fornitura pubblica, la società– in qualità di </w:t>
      </w:r>
      <w:r w:rsidRPr="00750C65">
        <w:rPr>
          <w:u w:val="single"/>
        </w:rPr>
        <w:t xml:space="preserve">appaltatore, subappaltatore subcontraente della filiera delle imprese, nonché di concessionario di finanziamenti pubblici anche europei </w:t>
      </w:r>
      <w:r w:rsidRPr="00750C65">
        <w:t>– deve:</w:t>
      </w:r>
    </w:p>
    <w:p w14:paraId="6AF23F51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effettuare tutti i movimenti finanziari relativi al contratto pubblico su conti correnti dedicati;</w:t>
      </w:r>
    </w:p>
    <w:p w14:paraId="6A74020E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effettuare tutti i movimenti finanziari relativi al contratto pubblico con bonifico o altro strumento idoneo a garantire la piena tracciabilità delle operazioni (bonifico bancario, bonifico postale, RI.BA., assegno bancario – tratto dal conto dedicato e non trasferibile, assegno postale – tratto dal conto dedicato e non trasferibile); non sono strumenti idonei, e sono pertanto vietati, i movimenti per contanti e i R.I.D.;</w:t>
      </w:r>
    </w:p>
    <w:p w14:paraId="7F7FC832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effettuare tutti i pagamenti indicando nelle transazioni commerciali e nei pagamenti legati alla filiera il CIG (codice identificativo di gara) attribuito dall’Autorità di Vigilanza sui Contratti Pubblici di lavori, servizi e forniture e/o il CUP (codice unico progetto, obbligatorio con riguardo a ogni nuovo progetto di investimento pubblico);</w:t>
      </w:r>
    </w:p>
    <w:p w14:paraId="643022B1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non reintegrare i conti correnti dedicati versando denaro contante;</w:t>
      </w:r>
    </w:p>
    <w:p w14:paraId="25AFDC4F" w14:textId="77777777" w:rsidR="00834FF0" w:rsidRPr="00750C65" w:rsidRDefault="00834FF0" w:rsidP="00834FF0">
      <w:pPr>
        <w:numPr>
          <w:ilvl w:val="0"/>
          <w:numId w:val="13"/>
        </w:numPr>
        <w:spacing w:before="120" w:after="120"/>
        <w:ind w:right="-1"/>
        <w:jc w:val="both"/>
      </w:pPr>
      <w:r w:rsidRPr="00750C65">
        <w:t>comunicare alla stazione appaltante o all’amministrazione concedente gli estremi identificativi dei conti correnti dedicati, le generalità ed il codice fiscale delle persone delegate ad operare sugli stessi, nonché ogni eventuale modifica relativa ai dati trasmessi.</w:t>
      </w:r>
    </w:p>
    <w:p w14:paraId="66A38DC6" w14:textId="3F7E616C" w:rsidR="00834FF0" w:rsidRPr="00750C65" w:rsidRDefault="00834FF0" w:rsidP="00834FF0">
      <w:pPr>
        <w:pStyle w:val="Corpodeltesto2"/>
        <w:spacing w:before="120" w:after="120"/>
        <w:ind w:right="-1"/>
        <w:rPr>
          <w:rFonts w:ascii="Times New Roman" w:hAnsi="Times New Roman"/>
        </w:rPr>
      </w:pPr>
      <w:r w:rsidRPr="00750C65">
        <w:rPr>
          <w:rFonts w:ascii="Times New Roman" w:hAnsi="Times New Roman"/>
        </w:rPr>
        <w:t xml:space="preserve">La società è tenuta, altresì, ad ottemperare alle prescrizioni contenute nella Procedura di Gestione degli Affidamenti di lavori, servizi e forniture (Proc. 3) del presente MOG 231, nonché del Regolamento contratti. </w:t>
      </w:r>
    </w:p>
    <w:p w14:paraId="2B82E549" w14:textId="77777777" w:rsidR="00834FF0" w:rsidRPr="00750C65" w:rsidRDefault="00834FF0" w:rsidP="00834FF0">
      <w:pPr>
        <w:pStyle w:val="Corpodeltesto2"/>
        <w:tabs>
          <w:tab w:val="left" w:pos="284"/>
        </w:tabs>
        <w:spacing w:before="120"/>
        <w:ind w:right="-1"/>
        <w:rPr>
          <w:rFonts w:ascii="Times New Roman" w:hAnsi="Times New Roman"/>
          <w:b/>
        </w:rPr>
      </w:pPr>
    </w:p>
    <w:p w14:paraId="57A2DAC3" w14:textId="77777777" w:rsidR="00834FF0" w:rsidRPr="00750C65" w:rsidRDefault="00834FF0" w:rsidP="00834FF0">
      <w:pPr>
        <w:pStyle w:val="Corpodeltesto2"/>
        <w:numPr>
          <w:ilvl w:val="0"/>
          <w:numId w:val="4"/>
        </w:numPr>
        <w:tabs>
          <w:tab w:val="left" w:pos="284"/>
        </w:tabs>
        <w:spacing w:before="120"/>
        <w:ind w:left="0" w:right="-1" w:firstLine="0"/>
        <w:rPr>
          <w:rFonts w:ascii="Times New Roman" w:hAnsi="Times New Roman"/>
          <w:b/>
        </w:rPr>
      </w:pPr>
      <w:r w:rsidRPr="00750C65">
        <w:rPr>
          <w:rFonts w:ascii="Times New Roman" w:hAnsi="Times New Roman"/>
          <w:b/>
        </w:rPr>
        <w:t>Disposizioni Finali</w:t>
      </w:r>
    </w:p>
    <w:p w14:paraId="1DAF625A" w14:textId="77777777" w:rsidR="00834FF0" w:rsidRPr="00750C65" w:rsidRDefault="00834FF0" w:rsidP="00834FF0">
      <w:pPr>
        <w:spacing w:before="120" w:after="120"/>
        <w:ind w:right="-1"/>
        <w:jc w:val="both"/>
      </w:pPr>
      <w:r w:rsidRPr="00750C65">
        <w:t xml:space="preserve">Tutti i Destinatari hanno la responsabilità di osservare e far osservare il contenuto della presente procedura. </w:t>
      </w:r>
    </w:p>
    <w:p w14:paraId="53FE180E" w14:textId="3DA1ED9E" w:rsidR="009929C7" w:rsidRPr="00750C65" w:rsidRDefault="00AF2CDC" w:rsidP="00AA239A">
      <w:pPr>
        <w:spacing w:before="120"/>
        <w:ind w:right="-1"/>
        <w:jc w:val="both"/>
      </w:pPr>
      <w:r w:rsidRPr="00750C65">
        <w:t>Fermo quanto previsto dalla procedura di Gestione dei Rapporti con l’OdV (Proc. 1), c</w:t>
      </w:r>
      <w:r w:rsidR="009929C7" w:rsidRPr="00750C65">
        <w:t>iascun Destinatario è tenuto a comunicare/segnalare tempestivamente ogni anomalia/violazione di quanto previsto dalla presente procedura</w:t>
      </w:r>
      <w:r w:rsidRPr="00750C65">
        <w:t xml:space="preserve"> a mezzo degli appositi canali previsti nella Procedura di Gestione dei Rapporti con l’OdV (proc. 1)</w:t>
      </w:r>
      <w:r w:rsidR="00C1443A" w:rsidRPr="00C1443A">
        <w:t xml:space="preserve"> e nel sistema adottato ai sensi della Legge 190/2012</w:t>
      </w:r>
      <w:r w:rsidRPr="00750C65">
        <w:t>.</w:t>
      </w:r>
    </w:p>
    <w:p w14:paraId="42E3BC32" w14:textId="77777777" w:rsidR="000D001B" w:rsidRPr="00750C65" w:rsidRDefault="00834FF0" w:rsidP="00D013F4">
      <w:pPr>
        <w:spacing w:before="120"/>
        <w:ind w:right="-1"/>
        <w:jc w:val="both"/>
      </w:pPr>
      <w:r w:rsidRPr="00750C65">
        <w:t>La violazione della presente procedura e dei suoi obblighi di comunicazione e segnalazione costituisce violazione del MOG231 e illecito disciplinare passibile di sanzione ai sensi di legge e del CCNL applicabile.</w:t>
      </w:r>
    </w:p>
    <w:sectPr w:rsidR="000D001B" w:rsidRPr="00750C65" w:rsidSect="000D001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0A20" w14:textId="77777777" w:rsidR="006630C0" w:rsidRDefault="006630C0" w:rsidP="00834FF0">
      <w:r>
        <w:separator/>
      </w:r>
    </w:p>
  </w:endnote>
  <w:endnote w:type="continuationSeparator" w:id="0">
    <w:p w14:paraId="1F4A4C9A" w14:textId="77777777" w:rsidR="006630C0" w:rsidRDefault="006630C0" w:rsidP="0083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alic"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F1D5" w14:textId="77777777" w:rsidR="006630C0" w:rsidRDefault="006630C0" w:rsidP="00834FF0">
      <w:r>
        <w:separator/>
      </w:r>
    </w:p>
  </w:footnote>
  <w:footnote w:type="continuationSeparator" w:id="0">
    <w:p w14:paraId="251281C7" w14:textId="77777777" w:rsidR="006630C0" w:rsidRDefault="006630C0" w:rsidP="00834FF0">
      <w:r>
        <w:continuationSeparator/>
      </w:r>
    </w:p>
  </w:footnote>
  <w:footnote w:id="1">
    <w:p w14:paraId="3595E643" w14:textId="23764516" w:rsidR="00F540F0" w:rsidRPr="00D86CB9" w:rsidRDefault="00F540F0" w:rsidP="00D86CB9">
      <w:pPr>
        <w:pStyle w:val="Corpodeltesto2"/>
        <w:ind w:right="140"/>
        <w:rPr>
          <w:rFonts w:ascii="Times New Roman" w:hAnsi="Times New Roman"/>
          <w:sz w:val="20"/>
          <w:szCs w:val="20"/>
        </w:rPr>
      </w:pPr>
      <w:r w:rsidRPr="00D86CB9">
        <w:rPr>
          <w:rStyle w:val="Rimandonotaapidipagina"/>
          <w:rFonts w:ascii="Times New Roman" w:hAnsi="Times New Roman"/>
          <w:sz w:val="20"/>
          <w:szCs w:val="20"/>
        </w:rPr>
        <w:footnoteRef/>
      </w:r>
      <w:r w:rsidR="00A92EE4" w:rsidRPr="00A92E28">
        <w:rPr>
          <w:rFonts w:ascii="Times New Roman" w:hAnsi="Times New Roman"/>
          <w:sz w:val="20"/>
          <w:szCs w:val="20"/>
        </w:rPr>
        <w:t>La presente proced</w:t>
      </w:r>
      <w:r w:rsidR="00A92EE4">
        <w:rPr>
          <w:rFonts w:ascii="Times New Roman" w:hAnsi="Times New Roman"/>
          <w:sz w:val="20"/>
          <w:szCs w:val="20"/>
        </w:rPr>
        <w:t xml:space="preserve">ura costituisce altresì misura integrativa </w:t>
      </w:r>
      <w:r w:rsidR="00A92EE4" w:rsidRPr="00A92E28">
        <w:rPr>
          <w:rFonts w:ascii="Times New Roman" w:hAnsi="Times New Roman"/>
          <w:sz w:val="20"/>
          <w:szCs w:val="20"/>
        </w:rPr>
        <w:t>per la prevenzione della corruzio</w:t>
      </w:r>
      <w:r w:rsidR="00A92EE4">
        <w:rPr>
          <w:rFonts w:ascii="Times New Roman" w:hAnsi="Times New Roman"/>
          <w:sz w:val="20"/>
          <w:szCs w:val="20"/>
        </w:rPr>
        <w:t xml:space="preserve">ne, secondo quanto previsto dalla Mappatura dei rischi (allegata al </w:t>
      </w:r>
      <w:r w:rsidR="00550F84" w:rsidRPr="00550F84">
        <w:rPr>
          <w:rFonts w:ascii="Times New Roman" w:hAnsi="Times New Roman"/>
          <w:sz w:val="20"/>
          <w:szCs w:val="20"/>
        </w:rPr>
        <w:t xml:space="preserve">Piano triennale di prevenzione della corruzione e della trasparenza </w:t>
      </w:r>
      <w:r w:rsidR="00EF1C2D" w:rsidRPr="00550F84">
        <w:rPr>
          <w:rFonts w:ascii="Times New Roman" w:hAnsi="Times New Roman"/>
          <w:sz w:val="20"/>
          <w:szCs w:val="20"/>
        </w:rPr>
        <w:t>202</w:t>
      </w:r>
      <w:r w:rsidR="00EF1C2D">
        <w:rPr>
          <w:rFonts w:ascii="Times New Roman" w:hAnsi="Times New Roman"/>
          <w:sz w:val="20"/>
          <w:szCs w:val="20"/>
        </w:rPr>
        <w:t>3</w:t>
      </w:r>
      <w:r w:rsidR="00EF1C2D" w:rsidRPr="00550F84">
        <w:rPr>
          <w:rFonts w:ascii="Times New Roman" w:hAnsi="Times New Roman"/>
          <w:sz w:val="20"/>
          <w:szCs w:val="20"/>
        </w:rPr>
        <w:t xml:space="preserve"> </w:t>
      </w:r>
      <w:r w:rsidR="00550F84" w:rsidRPr="00550F84">
        <w:rPr>
          <w:rFonts w:ascii="Times New Roman" w:hAnsi="Times New Roman"/>
          <w:sz w:val="20"/>
          <w:szCs w:val="20"/>
        </w:rPr>
        <w:t xml:space="preserve">- </w:t>
      </w:r>
      <w:r w:rsidR="00EF1C2D" w:rsidRPr="00550F84">
        <w:rPr>
          <w:rFonts w:ascii="Times New Roman" w:hAnsi="Times New Roman"/>
          <w:sz w:val="20"/>
          <w:szCs w:val="20"/>
        </w:rPr>
        <w:t>202</w:t>
      </w:r>
      <w:r w:rsidR="00EF1C2D">
        <w:rPr>
          <w:rFonts w:ascii="Times New Roman" w:hAnsi="Times New Roman"/>
          <w:sz w:val="20"/>
          <w:szCs w:val="20"/>
        </w:rPr>
        <w:t>5</w:t>
      </w:r>
      <w:r w:rsidR="00A92EE4">
        <w:rPr>
          <w:rFonts w:ascii="Times New Roman" w:hAnsi="Times New Roman"/>
          <w:sz w:val="20"/>
          <w:szCs w:val="20"/>
        </w:rPr>
        <w:t>)</w:t>
      </w:r>
      <w:r w:rsidR="00A92EE4" w:rsidRPr="00A92E28">
        <w:rPr>
          <w:rFonts w:ascii="Times New Roman" w:hAnsi="Times New Roman"/>
          <w:sz w:val="20"/>
          <w:szCs w:val="20"/>
        </w:rPr>
        <w:t xml:space="preserve">. </w:t>
      </w:r>
    </w:p>
  </w:footnote>
  <w:footnote w:id="2">
    <w:p w14:paraId="0F2CCCE2" w14:textId="2AAF28E0" w:rsidR="002B5829" w:rsidRDefault="00834FF0" w:rsidP="002B582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Secondo quanto previsto dal D.L. 124/2019 “</w:t>
      </w:r>
      <w:r>
        <w:rPr>
          <w:i/>
          <w:iCs/>
        </w:rPr>
        <w:t>Disposizioni urgenti in materia fiscale e per esigenze indifferibili</w:t>
      </w:r>
      <w:r>
        <w:t>”, a decorrere dal 1° luglio 2020, la soglia dell’utilizzo di denaro contante è di euro 2.000,00</w:t>
      </w:r>
      <w:r w:rsidR="002B5829">
        <w:t xml:space="preserve">; </w:t>
      </w:r>
      <w:r w:rsidR="002B5829" w:rsidRPr="00A80DB5">
        <w:t xml:space="preserve">a decorrere dal 1° </w:t>
      </w:r>
      <w:r w:rsidR="002B5829" w:rsidRPr="009C4702">
        <w:t>gennaio 2022</w:t>
      </w:r>
      <w:r w:rsidR="002B5829" w:rsidRPr="00A80DB5">
        <w:t xml:space="preserve">, la soglia dell’utilizzo </w:t>
      </w:r>
      <w:r w:rsidR="002B5829" w:rsidRPr="009C4702">
        <w:t>del</w:t>
      </w:r>
      <w:r w:rsidR="002B5829" w:rsidRPr="00A80DB5">
        <w:t xml:space="preserve"> denaro contante </w:t>
      </w:r>
      <w:r w:rsidR="00F25856">
        <w:t>è</w:t>
      </w:r>
      <w:r w:rsidR="002B5829" w:rsidRPr="00A80DB5">
        <w:t xml:space="preserve"> di euro </w:t>
      </w:r>
      <w:r w:rsidR="002B5829">
        <w:t>1</w:t>
      </w:r>
      <w:r w:rsidR="002B5829" w:rsidRPr="00A80DB5">
        <w:t>.000</w:t>
      </w:r>
      <w:r w:rsidR="002B5829" w:rsidRPr="009C4702">
        <w:t xml:space="preserve"> euro.</w:t>
      </w:r>
    </w:p>
    <w:p w14:paraId="52AF740D" w14:textId="6BBC81FC" w:rsidR="00834FF0" w:rsidRDefault="00834FF0" w:rsidP="00834FF0">
      <w:pPr>
        <w:pStyle w:val="Testonotaapidipagina"/>
      </w:pPr>
    </w:p>
  </w:footnote>
  <w:footnote w:id="3">
    <w:p w14:paraId="3003FD27" w14:textId="77777777" w:rsidR="00834FF0" w:rsidRDefault="00834FF0" w:rsidP="00834FF0">
      <w:pPr>
        <w:pStyle w:val="Testonotaapidipagina"/>
      </w:pPr>
      <w:r>
        <w:rPr>
          <w:rStyle w:val="Rimandonotaapidipagina"/>
        </w:rPr>
        <w:footnoteRef/>
      </w:r>
      <w:r>
        <w:t xml:space="preserve"> Quanto alla soglia relativa all’utilizzo del denaro contante si veda quanto al pgf.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70" w:type="dxa"/>
      <w:tblInd w:w="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95"/>
      <w:gridCol w:w="160"/>
      <w:gridCol w:w="2194"/>
      <w:gridCol w:w="1023"/>
      <w:gridCol w:w="3398"/>
    </w:tblGrid>
    <w:tr w:rsidR="00834FF0" w14:paraId="699D8B5D" w14:textId="77777777" w:rsidTr="00B76B11">
      <w:trPr>
        <w:cantSplit/>
        <w:trHeight w:val="533"/>
      </w:trPr>
      <w:tc>
        <w:tcPr>
          <w:tcW w:w="309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B632C1" w14:textId="77777777" w:rsidR="00834FF0" w:rsidRPr="00EC5F8D" w:rsidRDefault="00834FF0">
          <w:pPr>
            <w:jc w:val="center"/>
            <w:rPr>
              <w:rFonts w:ascii="Arial" w:hAnsi="Arial"/>
              <w:b/>
              <w:color w:val="800000"/>
              <w:sz w:val="20"/>
              <w:szCs w:val="20"/>
              <w:lang w:val="en-GB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noProof/>
            </w:rPr>
            <w:drawing>
              <wp:inline distT="0" distB="0" distL="0" distR="0" wp14:anchorId="618469B4" wp14:editId="2FD7FAEE">
                <wp:extent cx="1903095" cy="786765"/>
                <wp:effectExtent l="19050" t="0" r="1905" b="0"/>
                <wp:docPr id="1" name="Immagine 1" descr="Api nuo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Api nuo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EC5EFF4" w14:textId="77777777" w:rsidR="00834FF0" w:rsidRDefault="00834FF0">
          <w:pPr>
            <w:pStyle w:val="Intestazione"/>
            <w:rPr>
              <w:lang w:val="en-GB"/>
            </w:rPr>
          </w:pPr>
        </w:p>
      </w:tc>
      <w:tc>
        <w:tcPr>
          <w:tcW w:w="219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933550" w14:textId="7C46E662" w:rsidR="00834FF0" w:rsidRDefault="00EC5F8D">
          <w:pPr>
            <w:pStyle w:val="Intestazione"/>
            <w:jc w:val="center"/>
          </w:pPr>
          <w:r>
            <w:rPr>
              <w:sz w:val="22"/>
            </w:rPr>
            <w:t>00.00.</w:t>
          </w:r>
          <w:r w:rsidR="00AF2CDC">
            <w:rPr>
              <w:sz w:val="22"/>
            </w:rPr>
            <w:t>2023</w:t>
          </w:r>
        </w:p>
      </w:tc>
      <w:tc>
        <w:tcPr>
          <w:tcW w:w="4421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711775" w14:textId="77777777" w:rsidR="00834FF0" w:rsidRPr="00EC5F8D" w:rsidRDefault="00834FF0">
          <w:pPr>
            <w:pStyle w:val="Intestazione"/>
            <w:jc w:val="center"/>
            <w:rPr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C5F8D">
            <w:rPr>
              <w:rFonts w:ascii="Garamond" w:hAnsi="Garamond"/>
              <w:color w:val="00000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MODELLO DI ORGANIZZAZIONE E GESTIONE EX D.LGS. 231/01</w:t>
          </w:r>
        </w:p>
      </w:tc>
    </w:tr>
    <w:tr w:rsidR="00834FF0" w14:paraId="738E5DB0" w14:textId="77777777" w:rsidTr="00B76B11">
      <w:trPr>
        <w:cantSplit/>
        <w:trHeight w:val="252"/>
      </w:trPr>
      <w:tc>
        <w:tcPr>
          <w:tcW w:w="309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5BF860E6" w14:textId="77777777" w:rsidR="00834FF0" w:rsidRPr="00EC5F8D" w:rsidRDefault="00834FF0">
          <w:pPr>
            <w:rPr>
              <w:rFonts w:ascii="Arial" w:hAnsi="Arial"/>
              <w:b/>
              <w:color w:val="800000"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</w:tc>
      <w:tc>
        <w:tcPr>
          <w:tcW w:w="160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2AA49E5" w14:textId="77777777" w:rsidR="00834FF0" w:rsidRPr="00834FF0" w:rsidRDefault="00834FF0"/>
      </w:tc>
      <w:tc>
        <w:tcPr>
          <w:tcW w:w="2194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E1B713" w14:textId="38896AA6" w:rsidR="00834FF0" w:rsidRDefault="00834FF0">
          <w:pPr>
            <w:pStyle w:val="Intestazione"/>
            <w:jc w:val="center"/>
          </w:pPr>
          <w:r>
            <w:rPr>
              <w:sz w:val="22"/>
            </w:rPr>
            <w:t xml:space="preserve">REV. </w:t>
          </w:r>
          <w:r w:rsidR="00AF2CDC">
            <w:rPr>
              <w:sz w:val="22"/>
            </w:rPr>
            <w:t>2023</w:t>
          </w:r>
          <w:r>
            <w:rPr>
              <w:sz w:val="22"/>
            </w:rPr>
            <w:t>/00</w:t>
          </w:r>
        </w:p>
      </w:tc>
      <w:tc>
        <w:tcPr>
          <w:tcW w:w="102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39286C" w14:textId="77777777" w:rsidR="00834FF0" w:rsidRDefault="00834FF0">
          <w:pPr>
            <w:pStyle w:val="Intestazione"/>
            <w:jc w:val="center"/>
          </w:pPr>
          <w:r>
            <w:rPr>
              <w:sz w:val="22"/>
            </w:rPr>
            <w:t xml:space="preserve">Pag. </w:t>
          </w:r>
          <w:r w:rsidR="00F60F87">
            <w:rPr>
              <w:rStyle w:val="Numeropagina"/>
              <w:sz w:val="22"/>
            </w:rPr>
            <w:fldChar w:fldCharType="begin"/>
          </w:r>
          <w:r>
            <w:rPr>
              <w:rStyle w:val="Numeropagina"/>
              <w:sz w:val="22"/>
            </w:rPr>
            <w:instrText xml:space="preserve"> PAGE </w:instrText>
          </w:r>
          <w:r w:rsidR="00F60F87">
            <w:rPr>
              <w:rStyle w:val="Numeropagina"/>
              <w:sz w:val="22"/>
            </w:rPr>
            <w:fldChar w:fldCharType="separate"/>
          </w:r>
          <w:r w:rsidR="00A70FB1">
            <w:rPr>
              <w:rStyle w:val="Numeropagina"/>
              <w:noProof/>
              <w:sz w:val="22"/>
            </w:rPr>
            <w:t>8</w:t>
          </w:r>
          <w:r w:rsidR="00F60F87">
            <w:rPr>
              <w:rStyle w:val="Numeropagina"/>
              <w:sz w:val="22"/>
            </w:rPr>
            <w:fldChar w:fldCharType="end"/>
          </w:r>
          <w:r>
            <w:rPr>
              <w:rStyle w:val="Numeropagina"/>
              <w:sz w:val="22"/>
            </w:rPr>
            <w:t xml:space="preserve"> di </w:t>
          </w:r>
          <w:r w:rsidR="00F60F87">
            <w:rPr>
              <w:rStyle w:val="Numeropagina"/>
              <w:sz w:val="22"/>
            </w:rPr>
            <w:fldChar w:fldCharType="begin"/>
          </w:r>
          <w:r>
            <w:rPr>
              <w:rStyle w:val="Numeropagina"/>
              <w:sz w:val="22"/>
            </w:rPr>
            <w:instrText xml:space="preserve"> NUMPAGES </w:instrText>
          </w:r>
          <w:r w:rsidR="00F60F87">
            <w:rPr>
              <w:rStyle w:val="Numeropagina"/>
              <w:sz w:val="22"/>
            </w:rPr>
            <w:fldChar w:fldCharType="separate"/>
          </w:r>
          <w:r w:rsidR="00A70FB1">
            <w:rPr>
              <w:rStyle w:val="Numeropagina"/>
              <w:noProof/>
              <w:sz w:val="22"/>
            </w:rPr>
            <w:t>10</w:t>
          </w:r>
          <w:r w:rsidR="00F60F87">
            <w:rPr>
              <w:rStyle w:val="Numeropagina"/>
              <w:sz w:val="22"/>
            </w:rPr>
            <w:fldChar w:fldCharType="end"/>
          </w:r>
        </w:p>
      </w:tc>
      <w:tc>
        <w:tcPr>
          <w:tcW w:w="339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D08CE0" w14:textId="77777777" w:rsidR="00834FF0" w:rsidRDefault="00834FF0">
          <w:pPr>
            <w:pStyle w:val="Intestazione"/>
            <w:jc w:val="center"/>
          </w:pPr>
          <w:r>
            <w:rPr>
              <w:sz w:val="22"/>
            </w:rPr>
            <w:t>PARTE SPECIALE</w:t>
          </w:r>
        </w:p>
        <w:p w14:paraId="75B95ED0" w14:textId="77777777" w:rsidR="00834FF0" w:rsidRDefault="00834FF0">
          <w:pPr>
            <w:pStyle w:val="Intestazione"/>
            <w:jc w:val="center"/>
          </w:pPr>
          <w:r>
            <w:rPr>
              <w:sz w:val="22"/>
            </w:rPr>
            <w:t>PROCEDURA 2.2</w:t>
          </w:r>
        </w:p>
        <w:p w14:paraId="637751EA" w14:textId="77777777" w:rsidR="00834FF0" w:rsidRDefault="00834FF0">
          <w:pPr>
            <w:pStyle w:val="Intestazione"/>
            <w:jc w:val="center"/>
            <w:rPr>
              <w:b/>
              <w:bCs/>
            </w:rPr>
          </w:pPr>
          <w:r>
            <w:rPr>
              <w:b/>
              <w:bCs/>
              <w:sz w:val="22"/>
            </w:rPr>
            <w:t>FLUSSI FINANZIARI</w:t>
          </w:r>
        </w:p>
      </w:tc>
    </w:tr>
  </w:tbl>
  <w:p w14:paraId="37AD276B" w14:textId="77777777" w:rsidR="00834FF0" w:rsidRDefault="00834FF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35D"/>
    <w:multiLevelType w:val="hybridMultilevel"/>
    <w:tmpl w:val="0A12C0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422AB342">
      <w:start w:val="1"/>
      <w:numFmt w:val="lowerLetter"/>
      <w:lvlText w:val="%2)"/>
      <w:lvlJc w:val="left"/>
      <w:pPr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443DE"/>
    <w:multiLevelType w:val="hybridMultilevel"/>
    <w:tmpl w:val="824658C6"/>
    <w:lvl w:ilvl="0" w:tplc="73004708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C4042"/>
    <w:multiLevelType w:val="hybridMultilevel"/>
    <w:tmpl w:val="DA467392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7341B"/>
    <w:multiLevelType w:val="hybridMultilevel"/>
    <w:tmpl w:val="66F8CA2C"/>
    <w:lvl w:ilvl="0" w:tplc="04100003">
      <w:numFmt w:val="bullet"/>
      <w:lvlText w:val="-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F61427"/>
    <w:multiLevelType w:val="hybridMultilevel"/>
    <w:tmpl w:val="F33A78AE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42FCD"/>
    <w:multiLevelType w:val="hybridMultilevel"/>
    <w:tmpl w:val="EAE854FE"/>
    <w:lvl w:ilvl="0" w:tplc="9CE8ED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58375B"/>
    <w:multiLevelType w:val="hybridMultilevel"/>
    <w:tmpl w:val="53BCE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C06D8F"/>
    <w:multiLevelType w:val="multilevel"/>
    <w:tmpl w:val="FC58739A"/>
    <w:lvl w:ilvl="0">
      <w:numFmt w:val="bullet"/>
      <w:pStyle w:val="bullet2"/>
      <w:lvlText w:val="•"/>
      <w:lvlJc w:val="left"/>
      <w:pPr>
        <w:ind w:left="851" w:hanging="567"/>
      </w:pPr>
      <w:rPr>
        <w:rFonts w:ascii="Candara" w:hAnsi="Candara" w:hint="default"/>
      </w:rPr>
    </w:lvl>
    <w:lvl w:ilvl="1">
      <w:start w:val="1"/>
      <w:numFmt w:val="bullet"/>
      <w:lvlText w:val="‐"/>
      <w:lvlJc w:val="left"/>
      <w:pPr>
        <w:ind w:left="1077" w:hanging="226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758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79627E"/>
    <w:multiLevelType w:val="hybridMultilevel"/>
    <w:tmpl w:val="87F08E80"/>
    <w:lvl w:ilvl="0" w:tplc="04100017">
      <w:start w:val="1"/>
      <w:numFmt w:val="lowerLetter"/>
      <w:lvlText w:val="%1)"/>
      <w:lvlJc w:val="left"/>
      <w:pPr>
        <w:ind w:left="2138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80069"/>
    <w:multiLevelType w:val="hybridMultilevel"/>
    <w:tmpl w:val="C6BEEE64"/>
    <w:lvl w:ilvl="0" w:tplc="BB229F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Italic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Italic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Italic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1F956DF"/>
    <w:multiLevelType w:val="hybridMultilevel"/>
    <w:tmpl w:val="D4347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004708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2C085E"/>
    <w:multiLevelType w:val="hybridMultilevel"/>
    <w:tmpl w:val="602273C0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8C5F62"/>
    <w:multiLevelType w:val="hybridMultilevel"/>
    <w:tmpl w:val="3F8C5644"/>
    <w:lvl w:ilvl="0" w:tplc="F4A041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638BC"/>
    <w:multiLevelType w:val="hybridMultilevel"/>
    <w:tmpl w:val="64D24640"/>
    <w:lvl w:ilvl="0" w:tplc="BB229F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Italic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Italic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Italic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44B2C72"/>
    <w:multiLevelType w:val="hybridMultilevel"/>
    <w:tmpl w:val="2E6650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C34F0"/>
    <w:multiLevelType w:val="hybridMultilevel"/>
    <w:tmpl w:val="3842CF28"/>
    <w:lvl w:ilvl="0" w:tplc="C1927488">
      <w:start w:val="1"/>
      <w:numFmt w:val="bullet"/>
      <w:lvlText w:val="–"/>
      <w:lvlJc w:val="left"/>
      <w:pPr>
        <w:ind w:left="720" w:hanging="360"/>
      </w:pPr>
      <w:rPr>
        <w:rFonts w:ascii="Bookman Old Style" w:hAnsi="Bookman Old Styl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E7FA0"/>
    <w:multiLevelType w:val="hybridMultilevel"/>
    <w:tmpl w:val="DB2A98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F647C5"/>
    <w:multiLevelType w:val="hybridMultilevel"/>
    <w:tmpl w:val="54BAE83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920966"/>
    <w:multiLevelType w:val="hybridMultilevel"/>
    <w:tmpl w:val="A8007F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7E6B4F"/>
    <w:multiLevelType w:val="hybridMultilevel"/>
    <w:tmpl w:val="FA0C2B8E"/>
    <w:lvl w:ilvl="0" w:tplc="BB229F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Italic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Italic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Italic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D6F5E99"/>
    <w:multiLevelType w:val="hybridMultilevel"/>
    <w:tmpl w:val="C1E86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119695">
    <w:abstractNumId w:val="7"/>
    <w:lvlOverride w:ilvl="0">
      <w:lvl w:ilvl="0">
        <w:numFmt w:val="bullet"/>
        <w:pStyle w:val="bullet2"/>
        <w:lvlText w:val="•"/>
        <w:lvlJc w:val="left"/>
        <w:pPr>
          <w:ind w:left="737" w:hanging="453"/>
        </w:pPr>
        <w:rPr>
          <w:rFonts w:ascii="Candara" w:hAnsi="Candara" w:hint="default"/>
        </w:rPr>
      </w:lvl>
    </w:lvlOverride>
    <w:lvlOverride w:ilvl="1">
      <w:lvl w:ilvl="1">
        <w:start w:val="1"/>
        <w:numFmt w:val="bullet"/>
        <w:lvlText w:val="‐"/>
        <w:lvlJc w:val="left"/>
        <w:pPr>
          <w:ind w:left="1077" w:hanging="340"/>
        </w:pPr>
        <w:rPr>
          <w:rFonts w:ascii="Calibri" w:hAnsi="Calibri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1361" w:hanging="284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32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04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76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4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200" w:hanging="360"/>
        </w:pPr>
        <w:rPr>
          <w:rFonts w:ascii="Wingdings" w:hAnsi="Wingdings" w:hint="default"/>
        </w:rPr>
      </w:lvl>
    </w:lvlOverride>
  </w:num>
  <w:num w:numId="2" w16cid:durableId="784152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56461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055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904356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850354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77091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9033758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1014621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2832914">
    <w:abstractNumId w:val="18"/>
  </w:num>
  <w:num w:numId="11" w16cid:durableId="8475969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69619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04202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312488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5277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0726237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2872000">
    <w:abstractNumId w:val="3"/>
  </w:num>
  <w:num w:numId="18" w16cid:durableId="2147314055">
    <w:abstractNumId w:val="14"/>
  </w:num>
  <w:num w:numId="19" w16cid:durableId="1923177295">
    <w:abstractNumId w:val="15"/>
  </w:num>
  <w:num w:numId="20" w16cid:durableId="348721589">
    <w:abstractNumId w:val="8"/>
  </w:num>
  <w:num w:numId="21" w16cid:durableId="464395514">
    <w:abstractNumId w:val="2"/>
  </w:num>
  <w:num w:numId="22" w16cid:durableId="578296458">
    <w:abstractNumId w:val="17"/>
  </w:num>
  <w:num w:numId="23" w16cid:durableId="67966899">
    <w:abstractNumId w:val="0"/>
  </w:num>
  <w:num w:numId="24" w16cid:durableId="79572586">
    <w:abstractNumId w:val="13"/>
  </w:num>
  <w:num w:numId="25" w16cid:durableId="401802323">
    <w:abstractNumId w:val="19"/>
  </w:num>
  <w:num w:numId="26" w16cid:durableId="781922803">
    <w:abstractNumId w:val="9"/>
  </w:num>
  <w:num w:numId="27" w16cid:durableId="7922912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FF0"/>
    <w:rsid w:val="00002545"/>
    <w:rsid w:val="00062A40"/>
    <w:rsid w:val="000D001B"/>
    <w:rsid w:val="000D1A74"/>
    <w:rsid w:val="001337EE"/>
    <w:rsid w:val="00135C0B"/>
    <w:rsid w:val="00173A0B"/>
    <w:rsid w:val="00193951"/>
    <w:rsid w:val="00196121"/>
    <w:rsid w:val="001A24F8"/>
    <w:rsid w:val="001F5BAF"/>
    <w:rsid w:val="002A6C51"/>
    <w:rsid w:val="002B5829"/>
    <w:rsid w:val="002B67AA"/>
    <w:rsid w:val="002F7741"/>
    <w:rsid w:val="00345886"/>
    <w:rsid w:val="00395A8E"/>
    <w:rsid w:val="003A1B88"/>
    <w:rsid w:val="003C60B9"/>
    <w:rsid w:val="003F2F76"/>
    <w:rsid w:val="00400790"/>
    <w:rsid w:val="004E0EFB"/>
    <w:rsid w:val="005222E9"/>
    <w:rsid w:val="00550F84"/>
    <w:rsid w:val="005D70B6"/>
    <w:rsid w:val="005F7616"/>
    <w:rsid w:val="00614256"/>
    <w:rsid w:val="00624B3C"/>
    <w:rsid w:val="006270A8"/>
    <w:rsid w:val="006630C0"/>
    <w:rsid w:val="006758BA"/>
    <w:rsid w:val="006E0D28"/>
    <w:rsid w:val="00750C65"/>
    <w:rsid w:val="0079560B"/>
    <w:rsid w:val="007C1063"/>
    <w:rsid w:val="007E6DF4"/>
    <w:rsid w:val="00814C3F"/>
    <w:rsid w:val="0082798A"/>
    <w:rsid w:val="00834FF0"/>
    <w:rsid w:val="008A7D5B"/>
    <w:rsid w:val="00927FFE"/>
    <w:rsid w:val="00947595"/>
    <w:rsid w:val="009929C7"/>
    <w:rsid w:val="009B2AD1"/>
    <w:rsid w:val="009C3226"/>
    <w:rsid w:val="009E4493"/>
    <w:rsid w:val="00A02910"/>
    <w:rsid w:val="00A20560"/>
    <w:rsid w:val="00A70FB1"/>
    <w:rsid w:val="00A92EE4"/>
    <w:rsid w:val="00AA239A"/>
    <w:rsid w:val="00AA53C8"/>
    <w:rsid w:val="00AC29A3"/>
    <w:rsid w:val="00AE10F4"/>
    <w:rsid w:val="00AF2CDC"/>
    <w:rsid w:val="00B04E62"/>
    <w:rsid w:val="00B400B5"/>
    <w:rsid w:val="00B76B11"/>
    <w:rsid w:val="00B96677"/>
    <w:rsid w:val="00BD583F"/>
    <w:rsid w:val="00BE6DCB"/>
    <w:rsid w:val="00C00C4D"/>
    <w:rsid w:val="00C1443A"/>
    <w:rsid w:val="00C75422"/>
    <w:rsid w:val="00C9276D"/>
    <w:rsid w:val="00CC1782"/>
    <w:rsid w:val="00CD70BF"/>
    <w:rsid w:val="00CD71A7"/>
    <w:rsid w:val="00CF1B44"/>
    <w:rsid w:val="00D013F4"/>
    <w:rsid w:val="00D52847"/>
    <w:rsid w:val="00D57EDA"/>
    <w:rsid w:val="00D86CB9"/>
    <w:rsid w:val="00D94412"/>
    <w:rsid w:val="00D97588"/>
    <w:rsid w:val="00EC5F8D"/>
    <w:rsid w:val="00EE4619"/>
    <w:rsid w:val="00EF1C2D"/>
    <w:rsid w:val="00F25856"/>
    <w:rsid w:val="00F32183"/>
    <w:rsid w:val="00F540F0"/>
    <w:rsid w:val="00F60F87"/>
    <w:rsid w:val="00F76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107B"/>
  <w15:docId w15:val="{FD0FBCD7-B51F-43CA-9BFD-BD9BB94E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4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F2F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834FF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34FF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834FF0"/>
    <w:pPr>
      <w:jc w:val="both"/>
    </w:pPr>
    <w:rPr>
      <w:rFonts w:ascii="Comic Sans MS" w:hAnsi="Comic Sans MS"/>
    </w:rPr>
  </w:style>
  <w:style w:type="character" w:customStyle="1" w:styleId="Corpodeltesto2Carattere">
    <w:name w:val="Corpo del testo 2 Carattere"/>
    <w:basedOn w:val="Carpredefinitoparagrafo"/>
    <w:link w:val="Corpodeltesto2"/>
    <w:rsid w:val="00834FF0"/>
    <w:rPr>
      <w:rFonts w:ascii="Comic Sans MS" w:eastAsia="Times New Roman" w:hAnsi="Comic Sans MS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34FF0"/>
    <w:pPr>
      <w:ind w:left="720"/>
      <w:contextualSpacing/>
    </w:pPr>
    <w:rPr>
      <w:rFonts w:ascii="Bookman Old Style" w:hAnsi="Bookman Old Style" w:cs="Courier New"/>
      <w:sz w:val="26"/>
      <w:szCs w:val="26"/>
    </w:rPr>
  </w:style>
  <w:style w:type="paragraph" w:customStyle="1" w:styleId="bullet2">
    <w:name w:val="bullet 2"/>
    <w:basedOn w:val="Normale"/>
    <w:qFormat/>
    <w:rsid w:val="00834FF0"/>
    <w:pPr>
      <w:numPr>
        <w:numId w:val="1"/>
      </w:numPr>
      <w:spacing w:before="120" w:after="60"/>
      <w:contextualSpacing/>
      <w:jc w:val="both"/>
    </w:pPr>
    <w:rPr>
      <w:rFonts w:ascii="Candara" w:hAnsi="Candara"/>
      <w:szCs w:val="22"/>
      <w:lang w:eastAsia="en-US"/>
    </w:rPr>
  </w:style>
  <w:style w:type="character" w:styleId="Rimandonotaapidipagina">
    <w:name w:val="footnote reference"/>
    <w:uiPriority w:val="99"/>
    <w:semiHidden/>
    <w:unhideWhenUsed/>
    <w:rsid w:val="00834FF0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834F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34FF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4F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FF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semiHidden/>
    <w:unhideWhenUsed/>
    <w:rsid w:val="00834FF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F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FF0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D1A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D1A7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D1A7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1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1A7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C5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3F2F76"/>
    <w:rPr>
      <w:rFonts w:ascii="Arial" w:eastAsia="Times New Roman" w:hAnsi="Arial" w:cs="Arial"/>
      <w:b/>
      <w:bCs/>
      <w:sz w:val="26"/>
      <w:szCs w:val="26"/>
      <w:lang w:eastAsia="it-IT"/>
    </w:rPr>
  </w:style>
  <w:style w:type="table" w:styleId="Grigliatabella">
    <w:name w:val="Table Grid"/>
    <w:basedOn w:val="Tabellanormale"/>
    <w:rsid w:val="002B582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Ludovica Sarno</cp:lastModifiedBy>
  <cp:revision>14</cp:revision>
  <dcterms:created xsi:type="dcterms:W3CDTF">2022-01-25T18:04:00Z</dcterms:created>
  <dcterms:modified xsi:type="dcterms:W3CDTF">2023-09-27T16:00:00Z</dcterms:modified>
</cp:coreProperties>
</file>